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A6B" w:rsidRPr="00B17A6B" w:rsidRDefault="00F94F1A" w:rsidP="007009D5">
      <w:pPr>
        <w:spacing w:beforeLines="1" w:before="2" w:afterLines="1" w:after="2"/>
        <w:jc w:val="center"/>
        <w:outlineLvl w:val="2"/>
        <w:rPr>
          <w:rFonts w:ascii="Times New Roman" w:hAnsi="Times New Roman"/>
          <w:b/>
          <w:i/>
          <w:sz w:val="28"/>
          <w:szCs w:val="20"/>
        </w:rPr>
      </w:pPr>
      <w:r>
        <w:rPr>
          <w:rFonts w:ascii="Times New Roman" w:hAnsi="Times New Roman"/>
          <w:b/>
          <w:i/>
          <w:sz w:val="28"/>
          <w:szCs w:val="20"/>
        </w:rPr>
        <w:t>West Virginia State Board of Education v. Barnette</w:t>
      </w:r>
    </w:p>
    <w:p w:rsidR="00B17A6B" w:rsidRPr="00B17A6B" w:rsidRDefault="00B17A6B" w:rsidP="00B17A6B">
      <w:pPr>
        <w:spacing w:after="0"/>
        <w:jc w:val="center"/>
        <w:rPr>
          <w:rFonts w:ascii="Times New Roman" w:hAnsi="Times New Roman" w:cs="Times New Roman"/>
          <w:szCs w:val="20"/>
        </w:rPr>
      </w:pPr>
      <w:r w:rsidRPr="00B17A6B">
        <w:rPr>
          <w:rFonts w:ascii="Times New Roman" w:hAnsi="Times New Roman" w:cs="Times New Roman"/>
          <w:szCs w:val="20"/>
        </w:rPr>
        <w:t>Supreme Court of United States</w:t>
      </w:r>
    </w:p>
    <w:p w:rsidR="00B17A6B" w:rsidRPr="00B17A6B" w:rsidRDefault="00B17A6B" w:rsidP="00B17A6B">
      <w:pPr>
        <w:spacing w:after="0"/>
        <w:jc w:val="center"/>
        <w:rPr>
          <w:rFonts w:ascii="Times New Roman" w:hAnsi="Times New Roman"/>
          <w:szCs w:val="20"/>
        </w:rPr>
      </w:pPr>
      <w:r w:rsidRPr="00B17A6B">
        <w:rPr>
          <w:rFonts w:ascii="Times New Roman" w:hAnsi="Times New Roman"/>
          <w:szCs w:val="20"/>
        </w:rPr>
        <w:t>319 U.S. 624 (1943)</w:t>
      </w:r>
    </w:p>
    <w:p w:rsidR="00B17A6B" w:rsidRDefault="00B17A6B" w:rsidP="00B17A6B">
      <w:pPr>
        <w:spacing w:after="0"/>
        <w:jc w:val="center"/>
        <w:rPr>
          <w:rFonts w:ascii="Times New Roman" w:hAnsi="Times New Roman"/>
          <w:szCs w:val="20"/>
        </w:rPr>
      </w:pPr>
      <w:r w:rsidRPr="00B17A6B">
        <w:rPr>
          <w:rFonts w:ascii="Times New Roman" w:hAnsi="Times New Roman"/>
          <w:szCs w:val="20"/>
        </w:rPr>
        <w:t>(edited)</w:t>
      </w:r>
    </w:p>
    <w:p w:rsidR="00CB6895" w:rsidRPr="00CB6895" w:rsidRDefault="00CB6895" w:rsidP="008F373C">
      <w:pPr>
        <w:spacing w:beforeLines="1" w:before="2" w:afterLines="1" w:after="2"/>
        <w:rPr>
          <w:rFonts w:ascii="Times New Roman" w:hAnsi="Times New Roman"/>
          <w:color w:val="FF0000"/>
          <w:szCs w:val="20"/>
        </w:rPr>
      </w:pPr>
    </w:p>
    <w:p w:rsidR="00B17A6B" w:rsidRDefault="00B17A6B" w:rsidP="00F94F1A">
      <w:pPr>
        <w:spacing w:beforeLines="1" w:before="2" w:afterLines="1" w:after="2"/>
        <w:rPr>
          <w:rFonts w:ascii="Times New Roman" w:hAnsi="Times New Roman" w:cs="Times New Roman"/>
          <w:b/>
          <w:szCs w:val="20"/>
        </w:rPr>
      </w:pPr>
      <w:r w:rsidRPr="00B17A6B">
        <w:rPr>
          <w:rFonts w:ascii="Times New Roman" w:hAnsi="Times New Roman" w:cs="Times New Roman"/>
          <w:b/>
          <w:szCs w:val="20"/>
        </w:rPr>
        <w:t>MR. JUSTICE JACKSON delivered the opinion of the Court.</w:t>
      </w:r>
      <w:r w:rsidR="008F373C">
        <w:rPr>
          <w:rStyle w:val="FootnoteReference"/>
          <w:rFonts w:ascii="Times New Roman" w:hAnsi="Times New Roman" w:cs="Times New Roman"/>
          <w:b/>
          <w:szCs w:val="20"/>
        </w:rPr>
        <w:footnoteReference w:id="1"/>
      </w:r>
    </w:p>
    <w:p w:rsidR="00B17A6B" w:rsidRPr="00B17A6B" w:rsidRDefault="00B17A6B" w:rsidP="00F94F1A">
      <w:pPr>
        <w:spacing w:beforeLines="1" w:before="2" w:afterLines="1" w:after="2"/>
        <w:rPr>
          <w:rFonts w:ascii="Times New Roman" w:hAnsi="Times New Roman" w:cs="Times New Roman"/>
          <w:b/>
          <w:szCs w:val="20"/>
        </w:rPr>
      </w:pPr>
      <w:bookmarkStart w:id="0" w:name="_GoBack"/>
      <w:bookmarkEnd w:id="0"/>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Following the decision b</w:t>
      </w:r>
      <w:r>
        <w:rPr>
          <w:rFonts w:ascii="Times New Roman" w:hAnsi="Times New Roman" w:cs="Times New Roman"/>
          <w:szCs w:val="20"/>
        </w:rPr>
        <w:t xml:space="preserve">y this Court on June 3, 1940, in </w:t>
      </w:r>
      <w:r w:rsidRPr="00B17A6B">
        <w:rPr>
          <w:rFonts w:ascii="Times New Roman" w:hAnsi="Times New Roman" w:cs="Times New Roman"/>
          <w:i/>
          <w:szCs w:val="20"/>
        </w:rPr>
        <w:t>Minersville School District</w:t>
      </w:r>
      <w:r w:rsidRPr="00B17A6B">
        <w:rPr>
          <w:rFonts w:ascii="Times New Roman" w:hAnsi="Times New Roman" w:cs="Times New Roman"/>
          <w:szCs w:val="20"/>
        </w:rPr>
        <w:t xml:space="preserve"> v. </w:t>
      </w:r>
      <w:r w:rsidRPr="00B17A6B">
        <w:rPr>
          <w:rFonts w:ascii="Times New Roman" w:hAnsi="Times New Roman" w:cs="Times New Roman"/>
          <w:i/>
          <w:szCs w:val="20"/>
        </w:rPr>
        <w:t>Gobitis. . .</w:t>
      </w:r>
      <w:r w:rsidRPr="00B17A6B">
        <w:rPr>
          <w:rFonts w:ascii="Times New Roman" w:hAnsi="Times New Roman" w:cs="Times New Roman"/>
          <w:szCs w:val="20"/>
        </w:rPr>
        <w:t xml:space="preserve">, the West Virginia legislature amended its statutes to require all schools therein to conduct courses of instruction in history, civics, and in the Constitutions of the United States and of the State "for the purpose of teaching, fostering and perpetuating the ideals, principles and spirit of Americanism, and increasing the knowledge of the organization </w:t>
      </w:r>
      <w:r>
        <w:rPr>
          <w:rFonts w:ascii="Times New Roman" w:hAnsi="Times New Roman" w:cs="Times New Roman"/>
          <w:szCs w:val="20"/>
        </w:rPr>
        <w:t>and machinery of the government</w:t>
      </w:r>
      <w:r w:rsidRPr="00B17A6B">
        <w:rPr>
          <w:rFonts w:ascii="Times New Roman" w:hAnsi="Times New Roman" w:cs="Times New Roman"/>
          <w:szCs w:val="20"/>
        </w:rPr>
        <w:t>"</w:t>
      </w:r>
      <w:r>
        <w:rPr>
          <w:rFonts w:ascii="Times New Roman" w:hAnsi="Times New Roman" w:cs="Times New Roman"/>
          <w:szCs w:val="20"/>
        </w:rPr>
        <w:t>. . .</w:t>
      </w:r>
      <w:r w:rsidRPr="00B17A6B">
        <w:rPr>
          <w:rFonts w:ascii="Times New Roman" w:hAnsi="Times New Roman" w:cs="Times New Roman"/>
          <w:szCs w:val="20"/>
        </w:rPr>
        <w:t xml:space="preserve"> Appellant Board of Education was directed, with advice of the State Superintendent of Schools, to "prescribe the courses of study covering these subjects" for public schools. The Act made it the duty of private, parochial and denominational schools to prescribe courses of study "similar to those required for the public schools</w:t>
      </w:r>
      <w:bookmarkStart w:id="1" w:name="r[1]"/>
      <w:r>
        <w:rPr>
          <w:rFonts w:ascii="Times New Roman" w:hAnsi="Times New Roman" w:cs="Times New Roman"/>
          <w:szCs w:val="20"/>
        </w:rPr>
        <w:t>. . .</w:t>
      </w:r>
      <w:bookmarkEnd w:id="1"/>
      <w:r w:rsidR="00BD2633">
        <w:rPr>
          <w:rFonts w:ascii="Times New Roman" w:hAnsi="Times New Roman" w:cs="Times New Roman"/>
          <w:szCs w:val="20"/>
        </w:rPr>
        <w:t>”</w:t>
      </w:r>
      <w:r w:rsidRPr="00B17A6B">
        <w:rPr>
          <w:rFonts w:ascii="Times New Roman" w:hAnsi="Times New Roman" w:cs="Times New Roman"/>
          <w:szCs w:val="20"/>
        </w:rPr>
        <w:t xml:space="preserve"> </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 xml:space="preserve">The Board of Education on January 9, 1942, adopted a resolution </w:t>
      </w:r>
      <w:r w:rsidR="00401EA4">
        <w:rPr>
          <w:rFonts w:ascii="Times New Roman" w:hAnsi="Times New Roman" w:cs="Times New Roman"/>
          <w:szCs w:val="20"/>
        </w:rPr>
        <w:t xml:space="preserve">. . . </w:t>
      </w:r>
      <w:r w:rsidRPr="00B17A6B">
        <w:rPr>
          <w:rFonts w:ascii="Times New Roman" w:hAnsi="Times New Roman" w:cs="Times New Roman"/>
          <w:szCs w:val="20"/>
        </w:rPr>
        <w:t xml:space="preserve">ordering that the salute to the flag become "a regular part of the program of activities in the public schools," that all teachers and pupils "shall be required to participate in the salute honoring the Nation represented by the Flag; provided, however, that refusal to salute the Flag be regarded as an act of insubordination, and </w:t>
      </w:r>
      <w:r>
        <w:rPr>
          <w:rFonts w:ascii="Times New Roman" w:hAnsi="Times New Roman" w:cs="Times New Roman"/>
          <w:szCs w:val="20"/>
        </w:rPr>
        <w:t>shall be dealt with accordingly</w:t>
      </w:r>
      <w:r w:rsidRPr="00B17A6B">
        <w:rPr>
          <w:rFonts w:ascii="Times New Roman" w:hAnsi="Times New Roman" w:cs="Times New Roman"/>
          <w:szCs w:val="20"/>
        </w:rPr>
        <w:t>"</w:t>
      </w:r>
      <w:bookmarkStart w:id="2" w:name="r[2]"/>
      <w:r>
        <w:rPr>
          <w:rFonts w:ascii="Times New Roman" w:hAnsi="Times New Roman" w:cs="Times New Roman"/>
          <w:szCs w:val="20"/>
        </w:rPr>
        <w:t>. . .</w:t>
      </w:r>
      <w:bookmarkEnd w:id="2"/>
    </w:p>
    <w:p w:rsidR="00BD2633" w:rsidRPr="00B17A6B" w:rsidRDefault="00BD2633"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The resolution originally required the "commonly accepted salute to the Flag" which it defined. Objections to the salute as "being too much like Hitler's" were raised by the Parent and Teachers Association, the Boy and Girl Scouts, the Red Cross, and the Federation of Women's Clubs.</w:t>
      </w:r>
      <w:bookmarkStart w:id="3" w:name="r[3]"/>
      <w:r>
        <w:rPr>
          <w:rFonts w:ascii="Times New Roman" w:hAnsi="Times New Roman" w:cs="Times New Roman"/>
          <w:szCs w:val="20"/>
        </w:rPr>
        <w:t xml:space="preserve"> . .</w:t>
      </w:r>
      <w:bookmarkEnd w:id="3"/>
      <w:r w:rsidRPr="00B17A6B">
        <w:rPr>
          <w:rFonts w:ascii="Times New Roman" w:hAnsi="Times New Roman" w:cs="Times New Roman"/>
          <w:szCs w:val="20"/>
        </w:rPr>
        <w:t xml:space="preserve"> Some modification appears to have been made in deference to these objections, but no concession was made to Jehovah's Witnesses</w:t>
      </w:r>
      <w:bookmarkStart w:id="4" w:name="r[4]"/>
      <w:r>
        <w:rPr>
          <w:rFonts w:ascii="Times New Roman" w:hAnsi="Times New Roman" w:cs="Times New Roman"/>
          <w:szCs w:val="20"/>
        </w:rPr>
        <w:t>. . .</w:t>
      </w:r>
      <w:bookmarkEnd w:id="4"/>
      <w:r w:rsidRPr="00B17A6B">
        <w:rPr>
          <w:rFonts w:ascii="Times New Roman" w:hAnsi="Times New Roman" w:cs="Times New Roman"/>
          <w:szCs w:val="20"/>
        </w:rPr>
        <w:t>What is now required is the "stiff-arm" salute, the saluter to keep the right hand raised with palm turned up while the following is repeated: "I pledge allegiance to the Flag of the United States of America and to the Republic for which it stands; one Nation, indivisible, with liberty and justice for all."</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Failure to conform is "insubordination" dealt with by expulsion. Readmission is denied by statute until compliance. Meanwhile the expelled child is "unlawfully absent"</w:t>
      </w:r>
      <w:bookmarkStart w:id="5" w:name="r[5]"/>
      <w:r>
        <w:rPr>
          <w:rFonts w:ascii="Times New Roman" w:hAnsi="Times New Roman" w:cs="Times New Roman"/>
          <w:szCs w:val="20"/>
        </w:rPr>
        <w:t>. . .</w:t>
      </w:r>
      <w:bookmarkEnd w:id="5"/>
      <w:r w:rsidRPr="00B17A6B">
        <w:rPr>
          <w:rFonts w:ascii="Times New Roman" w:hAnsi="Times New Roman" w:cs="Times New Roman"/>
          <w:szCs w:val="20"/>
        </w:rPr>
        <w:t xml:space="preserve"> and may be proceeded against as a delinquent.</w:t>
      </w:r>
      <w:r>
        <w:rPr>
          <w:rFonts w:ascii="Times New Roman" w:hAnsi="Times New Roman" w:cs="Times New Roman"/>
          <w:szCs w:val="20"/>
          <w:vertAlign w:val="superscript"/>
        </w:rPr>
        <w:t xml:space="preserve">  </w:t>
      </w:r>
      <w:r>
        <w:rPr>
          <w:rFonts w:ascii="Times New Roman" w:hAnsi="Times New Roman" w:cs="Times New Roman"/>
          <w:szCs w:val="20"/>
        </w:rPr>
        <w:t>. .</w:t>
      </w:r>
      <w:r w:rsidRPr="00B17A6B">
        <w:rPr>
          <w:rFonts w:ascii="Times New Roman" w:hAnsi="Times New Roman" w:cs="Times New Roman"/>
          <w:szCs w:val="20"/>
        </w:rPr>
        <w:t xml:space="preserve"> His parents or guardians are liable to prosecution</w:t>
      </w:r>
      <w:bookmarkStart w:id="6" w:name="r[7]"/>
      <w:r>
        <w:rPr>
          <w:rFonts w:ascii="Times New Roman" w:hAnsi="Times New Roman" w:cs="Times New Roman"/>
          <w:szCs w:val="20"/>
        </w:rPr>
        <w:t>, . . .</w:t>
      </w:r>
      <w:bookmarkEnd w:id="6"/>
      <w:r w:rsidRPr="00B17A6B">
        <w:rPr>
          <w:rFonts w:ascii="Times New Roman" w:hAnsi="Times New Roman" w:cs="Times New Roman"/>
          <w:szCs w:val="20"/>
        </w:rPr>
        <w:t xml:space="preserve"> and if convicted are subject to fine not exceeding $50 and jail term not exceeding thirty days</w:t>
      </w:r>
      <w:bookmarkStart w:id="7" w:name="r[8]"/>
      <w:r>
        <w:rPr>
          <w:rFonts w:ascii="Times New Roman" w:hAnsi="Times New Roman" w:cs="Times New Roman"/>
          <w:szCs w:val="20"/>
        </w:rPr>
        <w:t>. . .</w:t>
      </w:r>
      <w:bookmarkEnd w:id="7"/>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 xml:space="preserve">Appellees, citizens of the United States and of West Virginia, brought suit in the United States District Court for themselves and others similarly situated asking its injunction to restrain enforcement of these laws and regulations against Jehovah's Witnesses. The Witnesses are an unincorporated body teaching that the obligation imposed by law of God is superior to that of laws </w:t>
      </w:r>
      <w:r w:rsidRPr="00B17A6B">
        <w:rPr>
          <w:rFonts w:ascii="Times New Roman" w:hAnsi="Times New Roman" w:cs="Times New Roman"/>
          <w:szCs w:val="20"/>
        </w:rPr>
        <w:lastRenderedPageBreak/>
        <w:t>enacted by temporal government. Their religious beliefs include a literal version of Exodus, Chapter 20, verses 4 and 5, which says: "Thou shalt not make unto thee any graven image, or any likeness of anything that is in heaven above, or that is in the earth beneath, or that is in the water under the earth; thou shalt not bow down thyself to them nor serve them." They consider that the flag is an "image" within this command. For this reason they refuse to salute it.</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Children of this faith have been expelled from school and are threatened with exclusion for no other cause. Officials threaten to send them to reformatories maintained for criminally inclined juveniles. Parents of such children have been prosecuted and are threatened with prosecutions for causing delinquency.</w:t>
      </w:r>
      <w:r>
        <w:rPr>
          <w:rFonts w:ascii="Times New Roman" w:hAnsi="Times New Roman" w:cs="Times New Roman"/>
          <w:szCs w:val="20"/>
        </w:rPr>
        <w:t xml:space="preserve"> . .</w:t>
      </w:r>
    </w:p>
    <w:p w:rsidR="00AE1242" w:rsidRDefault="00AE1242"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 xml:space="preserve">This case calls upon us to reconsider a precedent decision, as the Court throughout its history often has been required to do. Before turning to the </w:t>
      </w:r>
      <w:r w:rsidRPr="00B17A6B">
        <w:rPr>
          <w:rFonts w:ascii="Times New Roman" w:hAnsi="Times New Roman" w:cs="Times New Roman"/>
          <w:i/>
          <w:szCs w:val="20"/>
        </w:rPr>
        <w:t>Gobitis</w:t>
      </w:r>
      <w:r w:rsidRPr="00B17A6B">
        <w:rPr>
          <w:rFonts w:ascii="Times New Roman" w:hAnsi="Times New Roman" w:cs="Times New Roman"/>
          <w:szCs w:val="20"/>
        </w:rPr>
        <w:t xml:space="preserve"> case, however, it is desirable to notice certain characteristics by which this controversy is distinguished.</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The freedom asserted by these appellees does not bring them into collision with rights asserted by any other individual. It is such conflicts which most frequently require intervention of the State to determine where the rights of one end and those of another begin. But the refusal of these persons to participate in the ceremony does not interfere with or deny rights of others to do so. Nor is there any question in this case that their behavior is peaceable and orderly. The sole conflict is between authority and rights of the individual. The State asserts power to condition access to public education on making a prescribed sign and profession and at the same time to coerce attendance by punishing both parent and child. The latter stand on a right of self-determination in matters that touch individual opinion and personal attitude.</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25527F">
      <w:pPr>
        <w:spacing w:beforeLines="1" w:before="2" w:afterLines="1" w:after="2"/>
        <w:rPr>
          <w:rFonts w:ascii="Times New Roman" w:hAnsi="Times New Roman" w:cs="Times New Roman"/>
          <w:szCs w:val="20"/>
        </w:rPr>
      </w:pPr>
      <w:r w:rsidRPr="00B17A6B">
        <w:rPr>
          <w:rFonts w:ascii="Times New Roman" w:hAnsi="Times New Roman" w:cs="Times New Roman"/>
          <w:szCs w:val="20"/>
        </w:rPr>
        <w:t xml:space="preserve">As the present </w:t>
      </w:r>
      <w:r w:rsidR="00D67B09">
        <w:rPr>
          <w:rFonts w:ascii="Times New Roman" w:hAnsi="Times New Roman" w:cs="Times New Roman"/>
          <w:szCs w:val="20"/>
        </w:rPr>
        <w:t>Chief Justice</w:t>
      </w:r>
      <w:r w:rsidRPr="00B17A6B">
        <w:rPr>
          <w:rFonts w:ascii="Times New Roman" w:hAnsi="Times New Roman" w:cs="Times New Roman"/>
          <w:szCs w:val="20"/>
        </w:rPr>
        <w:t xml:space="preserve"> said in dissent in the </w:t>
      </w:r>
      <w:r w:rsidRPr="00B17A6B">
        <w:rPr>
          <w:rFonts w:ascii="Times New Roman" w:hAnsi="Times New Roman" w:cs="Times New Roman"/>
          <w:i/>
          <w:szCs w:val="20"/>
        </w:rPr>
        <w:t>Gobitis</w:t>
      </w:r>
      <w:r w:rsidRPr="00B17A6B">
        <w:rPr>
          <w:rFonts w:ascii="Times New Roman" w:hAnsi="Times New Roman" w:cs="Times New Roman"/>
          <w:szCs w:val="20"/>
        </w:rPr>
        <w:t xml:space="preserve"> case, the State may "require teaching by instruction and study of all in our history and in the structure and organization of our government, including the guaranties of civil liberty, which tend to inspire patriotism and love of country." </w:t>
      </w:r>
      <w:r>
        <w:rPr>
          <w:rFonts w:ascii="Times New Roman" w:hAnsi="Times New Roman" w:cs="Times New Roman"/>
          <w:szCs w:val="20"/>
        </w:rPr>
        <w:t xml:space="preserve">. . </w:t>
      </w:r>
      <w:r w:rsidRPr="00B17A6B">
        <w:rPr>
          <w:rFonts w:ascii="Times New Roman" w:hAnsi="Times New Roman" w:cs="Times New Roman"/>
          <w:szCs w:val="20"/>
        </w:rPr>
        <w:t xml:space="preserve">Here, however, we are dealing with a compulsion of students to declare a belief. </w:t>
      </w:r>
      <w:r>
        <w:rPr>
          <w:rFonts w:ascii="Times New Roman" w:hAnsi="Times New Roman" w:cs="Times New Roman"/>
          <w:szCs w:val="20"/>
        </w:rPr>
        <w:t>. .</w:t>
      </w:r>
    </w:p>
    <w:p w:rsid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There is no doubt that, in connection with the pledges, the flag salute is a form of utterance. Symbolism is a primitive but effective way of communicating ideas. The use of an emblem or flag to symbolize some system, idea, institution, or personality, is a short cut from mind to mind. Causes and nations, political parties, lodges and ecclesiastical groups seek to knit the loyalty of their followings to a flag or banner, a color or design. The State announces rank, function, and authority through crowns and maces, uniforms and black robes; the church speaks through the Cross, the Crucifix, the altar and shrine, and clerical raiment. Symbols of State often convey political ideas just as religious symbols come to convey theological ones. Associated with many of these symbols are appropriate gestures of acceptance or respect: a salute, a bowed or bared head, a bended knee. A person gets from a symbol the meaning he puts into it, and what is one man's comfort and inspiration is another's jest and scorn.</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Over a decade ago Chief Justice Hughes led this Court in holding that the display of a red flag as a symbol of opposition by peaceful and legal means to organized government was protected by the free speech guaranties of the Constitution.</w:t>
      </w:r>
      <w:r>
        <w:rPr>
          <w:rFonts w:ascii="Times New Roman" w:hAnsi="Times New Roman" w:cs="Times New Roman"/>
          <w:szCs w:val="20"/>
        </w:rPr>
        <w:t xml:space="preserve"> . .</w:t>
      </w:r>
      <w:r w:rsidRPr="00B17A6B">
        <w:rPr>
          <w:rFonts w:ascii="Times New Roman" w:hAnsi="Times New Roman" w:cs="Times New Roman"/>
          <w:szCs w:val="20"/>
        </w:rPr>
        <w:t xml:space="preserve"> Here it is the State that employs a flag as a symbol of adherence to government as presently organized. It requires the individual to communicate by word and sign his acceptance of the political ideas it thus bespeaks. Objection to this form of communication when coerced is an old one, well known to the framers of the Bill of Rights</w:t>
      </w:r>
      <w:r>
        <w:rPr>
          <w:rFonts w:ascii="Times New Roman" w:hAnsi="Times New Roman" w:cs="Times New Roman"/>
          <w:szCs w:val="20"/>
        </w:rPr>
        <w:t>. . .</w:t>
      </w:r>
    </w:p>
    <w:p w:rsidR="00B17A6B" w:rsidRPr="00B17A6B" w:rsidRDefault="00B17A6B" w:rsidP="00F94F1A">
      <w:pPr>
        <w:spacing w:beforeLines="1" w:before="2" w:afterLines="1" w:after="2"/>
        <w:rPr>
          <w:rFonts w:ascii="Times New Roman" w:hAnsi="Times New Roman" w:cs="Times New Roman"/>
          <w:color w:val="0000FF"/>
          <w:szCs w:val="20"/>
          <w:u w:val="single"/>
          <w:vertAlign w:val="superscript"/>
        </w:rPr>
      </w:pPr>
      <w:r w:rsidRPr="00B17A6B">
        <w:rPr>
          <w:rFonts w:ascii="Times New Roman" w:hAnsi="Times New Roman" w:cs="Times New Roman"/>
          <w:szCs w:val="20"/>
        </w:rPr>
        <w:lastRenderedPageBreak/>
        <w:t xml:space="preserve"> </w:t>
      </w: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It is also to be noted that the compulsory flag salute and pledge requires affirmation of a belief and an attitude of mind. It is not clear whether the regulation contemplates that pupils forego any contrary convictions of their own and become unwilling converts to the prescribed ceremony or whether it will be acceptable if they simulate assent by words without belief and by a gesture barren of meaning. It is now a commonplace that censorship or suppression of expression of opinion is tolerated by our Constitution only when the expression presents a clear and present danger of action of a kind the State is empowered to prevent and punish. It would seem that involuntary affirmation could be commanded only on even more immediate and urgent grounds than silence. But here the power of compulsion is invoked without any allegation that remaining passive during a flag salute ritual creates a clear and present danger that would justify an effort even to muffle expression. To sustain the compulsory flag salute we are required to say that a Bill of Rights which guards the individual's right to speak his own mind, left it open to public authorities to compel him to utter what is not in his mind.</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Whether the First Amendment to the Constitution will permit officials to order observance of ritual of this nature does not depend upon whether as a voluntary exercise we would think it to be good, bad or merely innocuous. Any credo of nationalism is likely to include what some disapprove or to omit what others think essential, and to give off different overtones as it takes on different accents or interpretations</w:t>
      </w:r>
      <w:r>
        <w:rPr>
          <w:rFonts w:ascii="Times New Roman" w:hAnsi="Times New Roman" w:cs="Times New Roman"/>
          <w:szCs w:val="20"/>
        </w:rPr>
        <w:t>. . .</w:t>
      </w:r>
      <w:r w:rsidRPr="00B17A6B">
        <w:rPr>
          <w:rFonts w:ascii="Times New Roman" w:hAnsi="Times New Roman" w:cs="Times New Roman"/>
          <w:szCs w:val="20"/>
        </w:rPr>
        <w:t xml:space="preserve"> If official power exists to coerce acceptance of any patriotic creed, what it shall contain cannot be decided by courts, but must be largely discretionary with the ordaining authority, whose power to prescribe would no doubt include power to amend. Hence validity of the asserted power to force an American citizen publicly to profess any statement of belief or to engage in any ceremony of assent to one, presents questions of power that must be considered independently of any idea we may have as to the utility of the ceremony in question.</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Nor does the issue as we see it turn on one's possession of particular religious views or the sincerity with which they are held. While religion supplies appellees' motive for enduring the discomforts of making the issue in this case, many citizens who do not share these religious views hold such a compulsory rite to infringe constitutional liberty of the individual. It is not necessary to inquire whether non-conformist beliefs will exempt from the duty to salute unless we first find power to make the salute a legal duty.</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 xml:space="preserve">The </w:t>
      </w:r>
      <w:r w:rsidRPr="00B17A6B">
        <w:rPr>
          <w:rFonts w:ascii="Times New Roman" w:hAnsi="Times New Roman" w:cs="Times New Roman"/>
          <w:i/>
          <w:szCs w:val="20"/>
        </w:rPr>
        <w:t>Gobitis</w:t>
      </w:r>
      <w:r w:rsidRPr="00B17A6B">
        <w:rPr>
          <w:rFonts w:ascii="Times New Roman" w:hAnsi="Times New Roman" w:cs="Times New Roman"/>
          <w:szCs w:val="20"/>
        </w:rPr>
        <w:t xml:space="preserve"> decision, however, </w:t>
      </w:r>
      <w:r w:rsidR="00401EA4">
        <w:rPr>
          <w:rFonts w:ascii="Times New Roman" w:hAnsi="Times New Roman" w:cs="Times New Roman"/>
          <w:i/>
          <w:szCs w:val="20"/>
        </w:rPr>
        <w:t xml:space="preserve">assumed. . . </w:t>
      </w:r>
      <w:r w:rsidRPr="00B17A6B">
        <w:rPr>
          <w:rFonts w:ascii="Times New Roman" w:hAnsi="Times New Roman" w:cs="Times New Roman"/>
          <w:szCs w:val="20"/>
        </w:rPr>
        <w:t xml:space="preserve"> that power exists in the State to impose the flag salute discipline upon school children in general. We examine rather than a</w:t>
      </w:r>
      <w:r w:rsidR="00D06AF0">
        <w:rPr>
          <w:rFonts w:ascii="Times New Roman" w:hAnsi="Times New Roman" w:cs="Times New Roman"/>
          <w:szCs w:val="20"/>
        </w:rPr>
        <w:t xml:space="preserve">ssume existence of this power. . . </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 xml:space="preserve">1. It was said that the flag-salute controversy confronted the Court with "the problem which Lincoln cast in memorable dilemma: `Must a government of necessity be too </w:t>
      </w:r>
      <w:r w:rsidRPr="00B17A6B">
        <w:rPr>
          <w:rFonts w:ascii="Times New Roman" w:hAnsi="Times New Roman" w:cs="Times New Roman"/>
          <w:i/>
          <w:szCs w:val="20"/>
        </w:rPr>
        <w:t>strong</w:t>
      </w:r>
      <w:r w:rsidRPr="00B17A6B">
        <w:rPr>
          <w:rFonts w:ascii="Times New Roman" w:hAnsi="Times New Roman" w:cs="Times New Roman"/>
          <w:szCs w:val="20"/>
        </w:rPr>
        <w:t xml:space="preserve"> for the liberties of its people, or too </w:t>
      </w:r>
      <w:r w:rsidRPr="00B17A6B">
        <w:rPr>
          <w:rFonts w:ascii="Times New Roman" w:hAnsi="Times New Roman" w:cs="Times New Roman"/>
          <w:i/>
          <w:szCs w:val="20"/>
        </w:rPr>
        <w:t>weak</w:t>
      </w:r>
      <w:r w:rsidRPr="00B17A6B">
        <w:rPr>
          <w:rFonts w:ascii="Times New Roman" w:hAnsi="Times New Roman" w:cs="Times New Roman"/>
          <w:szCs w:val="20"/>
        </w:rPr>
        <w:t xml:space="preserve"> to maintain its own existence?'" and that the answer must be in favor of strength. </w:t>
      </w:r>
      <w:r>
        <w:rPr>
          <w:rFonts w:ascii="Times New Roman" w:hAnsi="Times New Roman" w:cs="Times New Roman"/>
          <w:szCs w:val="20"/>
        </w:rPr>
        <w:t xml:space="preserve">. . </w:t>
      </w:r>
      <w:r w:rsidRPr="00B17A6B">
        <w:rPr>
          <w:rFonts w:ascii="Times New Roman" w:hAnsi="Times New Roman" w:cs="Times New Roman"/>
          <w:szCs w:val="20"/>
        </w:rPr>
        <w:t>We think these issues may be examined free of pressure or restraint growing out of such considerations.</w:t>
      </w:r>
      <w:r w:rsidR="00D06AF0">
        <w:rPr>
          <w:rFonts w:ascii="Times New Roman" w:hAnsi="Times New Roman" w:cs="Times New Roman"/>
          <w:szCs w:val="20"/>
        </w:rPr>
        <w:t xml:space="preserve"> . .</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 xml:space="preserve">Government of limited power need not be anemic government. Assurance that rights are secure tends to diminish fear and jealousy of strong government, and by making us feel safe to live under it makes for its better support. Without promise of a limiting Bill of Rights it is doubtful if our Constitution could have mustered enough strength to enable its ratification. To enforce those rights today is not to choose weak government over strong government. It is only to adhere as a means of strength to </w:t>
      </w:r>
      <w:r w:rsidRPr="00B17A6B">
        <w:rPr>
          <w:rFonts w:ascii="Times New Roman" w:hAnsi="Times New Roman" w:cs="Times New Roman"/>
          <w:szCs w:val="20"/>
        </w:rPr>
        <w:lastRenderedPageBreak/>
        <w:t>individual freedom of mind in preference to officially disciplined uniformity for which history indicates a disappointing and disastrous end.</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The subject now before us exemplifies this principle. Free public education, if faithful to the ideal of secular instruction and political neutrality, will not be partisan or enemy of any class, creed, party, or faction. If it is to impose any ideological discipline, however, each party or denomination must seek to control, or failing that, to weaken the influence of the educational system. Observance of the limitations of the Constitution will not weaken government in the field appropriate for its exercise.</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i/>
          <w:szCs w:val="20"/>
        </w:rPr>
      </w:pPr>
      <w:r w:rsidRPr="00B17A6B">
        <w:rPr>
          <w:rFonts w:ascii="Times New Roman" w:hAnsi="Times New Roman" w:cs="Times New Roman"/>
          <w:szCs w:val="20"/>
        </w:rPr>
        <w:t xml:space="preserve">2. It was also considered in the </w:t>
      </w:r>
      <w:r w:rsidRPr="00B17A6B">
        <w:rPr>
          <w:rFonts w:ascii="Times New Roman" w:hAnsi="Times New Roman" w:cs="Times New Roman"/>
          <w:i/>
          <w:szCs w:val="20"/>
        </w:rPr>
        <w:t>Gobitis</w:t>
      </w:r>
      <w:r w:rsidRPr="00B17A6B">
        <w:rPr>
          <w:rFonts w:ascii="Times New Roman" w:hAnsi="Times New Roman" w:cs="Times New Roman"/>
          <w:szCs w:val="20"/>
        </w:rPr>
        <w:t xml:space="preserve"> case that functions of educational officers in States, counties and school districts were such that to interfere with their authority "would in effect make us t</w:t>
      </w:r>
      <w:r>
        <w:rPr>
          <w:rFonts w:ascii="Times New Roman" w:hAnsi="Times New Roman" w:cs="Times New Roman"/>
          <w:szCs w:val="20"/>
        </w:rPr>
        <w:t>he school board for the country</w:t>
      </w:r>
      <w:r w:rsidRPr="00B17A6B">
        <w:rPr>
          <w:rFonts w:ascii="Times New Roman" w:hAnsi="Times New Roman" w:cs="Times New Roman"/>
          <w:szCs w:val="20"/>
        </w:rPr>
        <w:t xml:space="preserve">" </w:t>
      </w:r>
      <w:r>
        <w:rPr>
          <w:rFonts w:ascii="Times New Roman" w:hAnsi="Times New Roman" w:cs="Times New Roman"/>
          <w:i/>
          <w:szCs w:val="20"/>
        </w:rPr>
        <w:t>. . .</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D06AF0">
      <w:pPr>
        <w:spacing w:beforeLines="1" w:before="2" w:afterLines="1" w:after="2"/>
        <w:rPr>
          <w:rFonts w:ascii="Times New Roman" w:hAnsi="Times New Roman" w:cs="Times New Roman"/>
          <w:szCs w:val="20"/>
        </w:rPr>
      </w:pPr>
      <w:r w:rsidRPr="00B17A6B">
        <w:rPr>
          <w:rFonts w:ascii="Times New Roman" w:hAnsi="Times New Roman" w:cs="Times New Roman"/>
          <w:szCs w:val="20"/>
        </w:rPr>
        <w:t xml:space="preserve">The Fourteenth Amendment, as now applied to the States, protects the citizen against the State itself and all of its creatures — Boards of Education not excepted. These have, of course, important, delicate, and highly discretionary functions, but none that they may not perform within the limits of the Bill of Rights. </w:t>
      </w:r>
      <w:r w:rsidR="00D06AF0">
        <w:rPr>
          <w:rFonts w:ascii="Times New Roman" w:hAnsi="Times New Roman" w:cs="Times New Roman"/>
          <w:szCs w:val="20"/>
        </w:rPr>
        <w:t>. .</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 xml:space="preserve">3. The </w:t>
      </w:r>
      <w:r w:rsidRPr="00B17A6B">
        <w:rPr>
          <w:rFonts w:ascii="Times New Roman" w:hAnsi="Times New Roman" w:cs="Times New Roman"/>
          <w:i/>
          <w:szCs w:val="20"/>
        </w:rPr>
        <w:t>Gobitis</w:t>
      </w:r>
      <w:r w:rsidRPr="00B17A6B">
        <w:rPr>
          <w:rFonts w:ascii="Times New Roman" w:hAnsi="Times New Roman" w:cs="Times New Roman"/>
          <w:szCs w:val="20"/>
        </w:rPr>
        <w:t xml:space="preserve"> opinion reasoned that this is a field "where courts possess no marked and certainly no controlling competence," that it is committed to the legislatures as well as the courts to guard cherished liberties and that it is constitutionally appropriate to "fight out the wise use of legislative authority in the forum of public opinion and before legislative assemblies rather than to transfer such a contest to the judicial arena," since all the "effective means of inducing </w:t>
      </w:r>
      <w:r>
        <w:rPr>
          <w:rFonts w:ascii="Times New Roman" w:hAnsi="Times New Roman" w:cs="Times New Roman"/>
          <w:szCs w:val="20"/>
        </w:rPr>
        <w:t>political changes are left free</w:t>
      </w:r>
      <w:r w:rsidRPr="00B17A6B">
        <w:rPr>
          <w:rFonts w:ascii="Times New Roman" w:hAnsi="Times New Roman" w:cs="Times New Roman"/>
          <w:szCs w:val="20"/>
        </w:rPr>
        <w:t xml:space="preserve">" </w:t>
      </w:r>
      <w:r>
        <w:rPr>
          <w:rFonts w:ascii="Times New Roman" w:hAnsi="Times New Roman" w:cs="Times New Roman"/>
          <w:i/>
          <w:szCs w:val="20"/>
        </w:rPr>
        <w:t>. . .</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The very purpose of a Bill of Rights was to withdraw certain subjects from the vicissitudes of political controversy, to place them beyond the reach of majorities and officials and to establish them as legal principles to be applied by the courts. One's right to life, liberty, and property, to free speech, a free press, freedom of worship and assembly, and other fundamental rights may not be submitted to vote; they depend on the outcome of no elections.</w:t>
      </w:r>
      <w:r w:rsidR="00D06AF0">
        <w:rPr>
          <w:rFonts w:ascii="Times New Roman" w:hAnsi="Times New Roman" w:cs="Times New Roman"/>
          <w:szCs w:val="20"/>
        </w:rPr>
        <w:t xml:space="preserve"> . .</w:t>
      </w:r>
    </w:p>
    <w:p w:rsidR="00AE1242" w:rsidRPr="00B17A6B" w:rsidRDefault="00AE1242"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 xml:space="preserve">Nor does our duty to apply the Bill of Rights to assertions of official authority depend upon our possession of marked competence in the field where the invasion of rights occurs. </w:t>
      </w:r>
      <w:r w:rsidR="00D06AF0">
        <w:rPr>
          <w:rFonts w:ascii="Times New Roman" w:hAnsi="Times New Roman" w:cs="Times New Roman"/>
          <w:szCs w:val="20"/>
        </w:rPr>
        <w:t xml:space="preserve">. . </w:t>
      </w:r>
      <w:r w:rsidRPr="00B17A6B">
        <w:rPr>
          <w:rFonts w:ascii="Times New Roman" w:hAnsi="Times New Roman" w:cs="Times New Roman"/>
          <w:szCs w:val="20"/>
        </w:rPr>
        <w:t>But we act in these matters not by authority of our competence but by force of our commissions. We cannot, because of modest estimates of our competence in such specialties as public education, withhold the judgment that history authenticates as the function of this Court when liberty is infringed.</w:t>
      </w:r>
    </w:p>
    <w:p w:rsidR="00B17A6B" w:rsidRPr="00B17A6B" w:rsidRDefault="00B17A6B" w:rsidP="00F94F1A">
      <w:pPr>
        <w:spacing w:beforeLines="1" w:before="2" w:afterLines="1" w:after="2"/>
        <w:rPr>
          <w:rFonts w:ascii="Times New Roman" w:hAnsi="Times New Roman" w:cs="Times New Roman"/>
          <w:szCs w:val="20"/>
        </w:rPr>
      </w:pPr>
    </w:p>
    <w:p w:rsidR="00B17A6B" w:rsidRP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 xml:space="preserve">4. Lastly, and this is the very heart of the </w:t>
      </w:r>
      <w:r w:rsidRPr="00B17A6B">
        <w:rPr>
          <w:rFonts w:ascii="Times New Roman" w:hAnsi="Times New Roman" w:cs="Times New Roman"/>
          <w:i/>
          <w:szCs w:val="20"/>
        </w:rPr>
        <w:t>Gobitis</w:t>
      </w:r>
      <w:r w:rsidRPr="00B17A6B">
        <w:rPr>
          <w:rFonts w:ascii="Times New Roman" w:hAnsi="Times New Roman" w:cs="Times New Roman"/>
          <w:szCs w:val="20"/>
        </w:rPr>
        <w:t xml:space="preserve"> opinion, it reasons that "National unity is the basis of national security," that the authorities have "the right to select appropriate means for its attainment," and hence reaches the conclusion that such compulsory measures toward "national unity" are constitutional. </w:t>
      </w:r>
      <w:r>
        <w:rPr>
          <w:rFonts w:ascii="Times New Roman" w:hAnsi="Times New Roman" w:cs="Times New Roman"/>
          <w:i/>
          <w:szCs w:val="20"/>
        </w:rPr>
        <w:t>. .</w:t>
      </w:r>
      <w:r w:rsidRPr="00B17A6B">
        <w:rPr>
          <w:rFonts w:ascii="Times New Roman" w:hAnsi="Times New Roman" w:cs="Times New Roman"/>
          <w:szCs w:val="20"/>
        </w:rPr>
        <w:t xml:space="preserve"> Upon the verity of this assumption depends our answer in this case.</w:t>
      </w: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National unity as an end which officials may foster by persuasion and example is not in question. The problem is whether under our Constitution compulsion as here employed is a permissible means for its achievement.</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 xml:space="preserve">Struggles to coerce uniformity of sentiment in support of some end thought essential to their time and country have been waged by many good as well as by evil men. Nationalism is a relatively recent phenomenon but at other times and places the ends have been racial or territorial security, support of </w:t>
      </w:r>
      <w:r w:rsidRPr="00B17A6B">
        <w:rPr>
          <w:rFonts w:ascii="Times New Roman" w:hAnsi="Times New Roman" w:cs="Times New Roman"/>
          <w:szCs w:val="20"/>
        </w:rPr>
        <w:lastRenderedPageBreak/>
        <w:t xml:space="preserve">a dynasty or regime, and particular plans for saving souls. As first and moderate methods to attain unity have failed, those bent on its accomplishment must resort to an ever-increasing severity. </w:t>
      </w:r>
      <w:r>
        <w:rPr>
          <w:rFonts w:ascii="Times New Roman" w:hAnsi="Times New Roman" w:cs="Times New Roman"/>
          <w:szCs w:val="20"/>
        </w:rPr>
        <w:t>. .</w:t>
      </w:r>
      <w:r w:rsidRPr="00B17A6B">
        <w:rPr>
          <w:rFonts w:ascii="Times New Roman" w:hAnsi="Times New Roman" w:cs="Times New Roman"/>
          <w:szCs w:val="20"/>
        </w:rPr>
        <w:t xml:space="preserve"> As governmental pressure toward unity becomes greater, so strife becomes more bitter as to whose unity it shall be. Probably no deeper division of our people could proceed from any provocation than from finding it necessary to choose what doctrine and whose program public educational officials shall compel youth to unite in embracing. Ultimate futility of such attempts to compel coherence is the lesson of every such effort from the Roman drive to stamp out Christianity as a disturber of its pagan unity, the Inquisition, as a means to religious and dynastic unity, the Siberian exiles as a means to Russian unity, down to the fast failing efforts of our present totalitarian enemies. Those who begin coercive elimination of dissent soon find themselves exterminating dissenters. Compulsory unification of opinion achieves only the unanimity of the graveyard.</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It seems trite but necessary to say that the First Amendment to our Constitution was designed to avoid these ends by avoiding these beginnings. There is no mysticism in the American concept of the State or of the nature or origin of its authority. We set up government by consent of the governed, and the Bill of Rights denies those in power any legal opportunity to coerce that consent. Authority here is to be controlled by public opinion, not public opinion by authority.</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The case is made difficult not because the principles of its decision are obscure but because the flag involved is our own. Nevertheless, we apply the limitations of the Constitution with no fear that freedom to be intellectually and spiritually diverse or even contrary will disintegrate the social organization. To believe that patriotism will not flourish if patriotic ceremonies are voluntary and spontaneous instead of a compulsory routine is to make an unflattering estimate of the appeal of our institutions to free minds. We can have intellectual individualism and the rich cultural diversities that we owe to exceptional minds only at the price of occasional eccentricity and abnormal attitudes. When they are so harmless to others or to the State as those we deal with here, the price is not too great. But freedom to differ is not limited to things that do not matter much. That would be a mere shadow of freedom. The test of its substance is the right to differ as to things that touch the heart of the existing order.</w:t>
      </w:r>
    </w:p>
    <w:p w:rsidR="00B17A6B" w:rsidRPr="00B17A6B" w:rsidRDefault="00B17A6B" w:rsidP="00F94F1A">
      <w:pPr>
        <w:spacing w:beforeLines="1" w:before="2" w:afterLines="1" w:after="2"/>
        <w:rPr>
          <w:rFonts w:ascii="Times New Roman" w:hAnsi="Times New Roman" w:cs="Times New Roman"/>
          <w:szCs w:val="20"/>
        </w:rPr>
      </w:pPr>
    </w:p>
    <w:p w:rsid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If there is any fixed star in our constitutional constellation, it is that no official, high or petty, can prescribe what shall be orthodox in politics, nationalism, religion, or other matters of opinion or force citizens to confess by word or act their faith therein. If there are any circumstances which permit an exception, they do not now occur to us</w:t>
      </w:r>
      <w:r>
        <w:rPr>
          <w:rFonts w:ascii="Times New Roman" w:hAnsi="Times New Roman" w:cs="Times New Roman"/>
          <w:szCs w:val="20"/>
        </w:rPr>
        <w:t>. . .</w:t>
      </w:r>
    </w:p>
    <w:p w:rsidR="00B17A6B" w:rsidRPr="00B17A6B" w:rsidRDefault="00B17A6B" w:rsidP="00F94F1A">
      <w:pPr>
        <w:spacing w:beforeLines="1" w:before="2" w:afterLines="1" w:after="2"/>
        <w:rPr>
          <w:rFonts w:ascii="Times New Roman" w:hAnsi="Times New Roman" w:cs="Times New Roman"/>
          <w:szCs w:val="20"/>
        </w:rPr>
      </w:pPr>
    </w:p>
    <w:p w:rsidR="00B17A6B" w:rsidRPr="00B17A6B" w:rsidRDefault="00B17A6B" w:rsidP="00F94F1A">
      <w:pPr>
        <w:spacing w:beforeLines="1" w:before="2" w:afterLines="1" w:after="2"/>
        <w:rPr>
          <w:rFonts w:ascii="Times New Roman" w:hAnsi="Times New Roman" w:cs="Times New Roman"/>
          <w:szCs w:val="20"/>
        </w:rPr>
      </w:pPr>
      <w:r w:rsidRPr="00B17A6B">
        <w:rPr>
          <w:rFonts w:ascii="Times New Roman" w:hAnsi="Times New Roman" w:cs="Times New Roman"/>
          <w:szCs w:val="20"/>
        </w:rPr>
        <w:t>We think the action of the local authorities in compelling the flag salute and pledge transcends constitutional limitations on their power and invades the sphere of intellect and spirit which it is the purpose of the First Amendment to our Constitution to reserve from all official control.</w:t>
      </w:r>
    </w:p>
    <w:p w:rsidR="00B17A6B" w:rsidRDefault="00B17A6B" w:rsidP="0025527F">
      <w:pPr>
        <w:spacing w:beforeLines="1" w:before="2" w:afterLines="1" w:after="2"/>
        <w:rPr>
          <w:rFonts w:ascii="Times New Roman" w:hAnsi="Times New Roman" w:cs="Times New Roman"/>
          <w:i/>
          <w:szCs w:val="20"/>
        </w:rPr>
      </w:pPr>
      <w:r w:rsidRPr="00B17A6B">
        <w:rPr>
          <w:rFonts w:ascii="Times New Roman" w:hAnsi="Times New Roman" w:cs="Times New Roman"/>
          <w:szCs w:val="20"/>
        </w:rPr>
        <w:t>The decision of this Court in</w:t>
      </w:r>
      <w:r w:rsidR="008E2461">
        <w:rPr>
          <w:rFonts w:ascii="Times New Roman" w:hAnsi="Times New Roman" w:cs="Times New Roman"/>
          <w:szCs w:val="20"/>
        </w:rPr>
        <w:t xml:space="preserve"> </w:t>
      </w:r>
      <w:r w:rsidR="0025527F" w:rsidRPr="0025527F">
        <w:rPr>
          <w:rFonts w:ascii="Times New Roman" w:hAnsi="Times New Roman" w:cs="Times New Roman"/>
          <w:i/>
          <w:iCs/>
          <w:szCs w:val="20"/>
        </w:rPr>
        <w:t xml:space="preserve">Minersville School District v. </w:t>
      </w:r>
      <w:r w:rsidR="008E2461" w:rsidRPr="008E2461">
        <w:rPr>
          <w:rFonts w:ascii="Times New Roman" w:hAnsi="Times New Roman" w:cs="Times New Roman"/>
          <w:i/>
          <w:szCs w:val="20"/>
        </w:rPr>
        <w:t>Gobitis</w:t>
      </w:r>
      <w:r w:rsidRPr="00B17A6B">
        <w:rPr>
          <w:rFonts w:ascii="Times New Roman" w:hAnsi="Times New Roman" w:cs="Times New Roman"/>
          <w:szCs w:val="20"/>
        </w:rPr>
        <w:t xml:space="preserve"> and the holdings of those few </w:t>
      </w:r>
      <w:r w:rsidRPr="00B17A6B">
        <w:rPr>
          <w:rFonts w:ascii="Times New Roman" w:hAnsi="Times New Roman" w:cs="Times New Roman"/>
          <w:i/>
          <w:szCs w:val="20"/>
        </w:rPr>
        <w:t>per curiam</w:t>
      </w:r>
      <w:r w:rsidRPr="00B17A6B">
        <w:rPr>
          <w:rFonts w:ascii="Times New Roman" w:hAnsi="Times New Roman" w:cs="Times New Roman"/>
          <w:szCs w:val="20"/>
        </w:rPr>
        <w:t xml:space="preserve"> decisions which preceded and foreshadowed it are overruled, and the judgment enjoining enforcement </w:t>
      </w:r>
      <w:r w:rsidR="0025527F">
        <w:rPr>
          <w:rFonts w:ascii="Times New Roman" w:hAnsi="Times New Roman" w:cs="Times New Roman"/>
          <w:szCs w:val="20"/>
        </w:rPr>
        <w:t>of the West Virginia regulation</w:t>
      </w:r>
      <w:r w:rsidRPr="00B17A6B">
        <w:rPr>
          <w:rFonts w:ascii="Times New Roman" w:hAnsi="Times New Roman" w:cs="Times New Roman"/>
          <w:szCs w:val="20"/>
        </w:rPr>
        <w:t xml:space="preserve"> is</w:t>
      </w:r>
      <w:r w:rsidR="0025527F">
        <w:rPr>
          <w:rFonts w:ascii="Times New Roman" w:hAnsi="Times New Roman" w:cs="Times New Roman"/>
          <w:szCs w:val="20"/>
        </w:rPr>
        <w:t xml:space="preserve"> affirmed.</w:t>
      </w:r>
    </w:p>
    <w:p w:rsidR="00B17A6B" w:rsidRDefault="00B17A6B" w:rsidP="00F94F1A">
      <w:pPr>
        <w:spacing w:beforeLines="1" w:before="2" w:afterLines="1" w:after="2"/>
        <w:rPr>
          <w:rFonts w:ascii="Times New Roman" w:hAnsi="Times New Roman" w:cs="Times New Roman"/>
          <w:i/>
          <w:szCs w:val="20"/>
        </w:rPr>
      </w:pPr>
    </w:p>
    <w:sectPr w:rsidR="00B17A6B" w:rsidSect="008E2461">
      <w:headerReference w:type="even" r:id="rId6"/>
      <w:headerReference w:type="default" r:id="rId7"/>
      <w:pgSz w:w="12240" w:h="15840"/>
      <w:pgMar w:top="1296" w:right="1152"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0C0" w:rsidRDefault="00E610C0">
      <w:pPr>
        <w:spacing w:after="0"/>
      </w:pPr>
      <w:r>
        <w:separator/>
      </w:r>
    </w:p>
  </w:endnote>
  <w:endnote w:type="continuationSeparator" w:id="0">
    <w:p w:rsidR="00E610C0" w:rsidRDefault="00E610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0C0" w:rsidRDefault="00E610C0">
      <w:pPr>
        <w:spacing w:after="0"/>
      </w:pPr>
      <w:r>
        <w:separator/>
      </w:r>
    </w:p>
  </w:footnote>
  <w:footnote w:type="continuationSeparator" w:id="0">
    <w:p w:rsidR="00E610C0" w:rsidRDefault="00E610C0">
      <w:pPr>
        <w:spacing w:after="0"/>
      </w:pPr>
      <w:r>
        <w:continuationSeparator/>
      </w:r>
    </w:p>
  </w:footnote>
  <w:footnote w:id="1">
    <w:p w:rsidR="00403F92" w:rsidRPr="00403F92" w:rsidRDefault="008F373C" w:rsidP="00403F92">
      <w:pPr>
        <w:rPr>
          <w:rFonts w:ascii="Times New Roman" w:eastAsia="Times New Roman" w:hAnsi="Times New Roman" w:cs="Times New Roman"/>
          <w:sz w:val="22"/>
          <w:szCs w:val="22"/>
        </w:rPr>
      </w:pPr>
      <w:r w:rsidRPr="00403F92">
        <w:rPr>
          <w:rStyle w:val="FootnoteReference"/>
          <w:rFonts w:ascii="Times New Roman" w:hAnsi="Times New Roman" w:cs="Times New Roman"/>
          <w:sz w:val="22"/>
          <w:szCs w:val="22"/>
        </w:rPr>
        <w:footnoteRef/>
      </w:r>
      <w:r w:rsidRPr="00403F92">
        <w:rPr>
          <w:rFonts w:ascii="Times New Roman" w:hAnsi="Times New Roman" w:cs="Times New Roman"/>
          <w:sz w:val="22"/>
          <w:szCs w:val="22"/>
        </w:rPr>
        <w:t xml:space="preserve"> Five justices joined Justice Jackson’s opinion for the Court</w:t>
      </w:r>
      <w:r w:rsidR="00403F92" w:rsidRPr="00403F92">
        <w:rPr>
          <w:rFonts w:ascii="Times New Roman" w:hAnsi="Times New Roman" w:cs="Times New Roman"/>
          <w:sz w:val="22"/>
          <w:szCs w:val="22"/>
        </w:rPr>
        <w:t>; Justices Black</w:t>
      </w:r>
      <w:r w:rsidR="008A4391">
        <w:rPr>
          <w:rFonts w:ascii="Times New Roman" w:hAnsi="Times New Roman" w:cs="Times New Roman"/>
          <w:sz w:val="22"/>
          <w:szCs w:val="22"/>
        </w:rPr>
        <w:t xml:space="preserve">, </w:t>
      </w:r>
      <w:r w:rsidR="00403F92" w:rsidRPr="00403F92">
        <w:rPr>
          <w:rFonts w:ascii="Times New Roman" w:hAnsi="Times New Roman" w:cs="Times New Roman"/>
          <w:sz w:val="22"/>
          <w:szCs w:val="22"/>
        </w:rPr>
        <w:t>Douglas</w:t>
      </w:r>
      <w:r w:rsidR="008A4391">
        <w:rPr>
          <w:rFonts w:ascii="Times New Roman" w:hAnsi="Times New Roman" w:cs="Times New Roman"/>
          <w:sz w:val="22"/>
          <w:szCs w:val="22"/>
        </w:rPr>
        <w:t xml:space="preserve"> and Murphy</w:t>
      </w:r>
      <w:r w:rsidR="00403F92" w:rsidRPr="00403F92">
        <w:rPr>
          <w:rFonts w:ascii="Times New Roman" w:hAnsi="Times New Roman" w:cs="Times New Roman"/>
          <w:sz w:val="22"/>
          <w:szCs w:val="22"/>
        </w:rPr>
        <w:t xml:space="preserve"> also filed concurring opinions</w:t>
      </w:r>
      <w:r w:rsidR="00403F92" w:rsidRPr="00BD2633">
        <w:rPr>
          <w:rFonts w:ascii="Times New Roman" w:hAnsi="Times New Roman" w:cs="Times New Roman"/>
          <w:sz w:val="22"/>
          <w:szCs w:val="22"/>
        </w:rPr>
        <w:t>.</w:t>
      </w:r>
      <w:r w:rsidRPr="00403F92">
        <w:rPr>
          <w:rFonts w:ascii="Times New Roman" w:hAnsi="Times New Roman" w:cs="Times New Roman"/>
          <w:sz w:val="22"/>
          <w:szCs w:val="22"/>
        </w:rPr>
        <w:t xml:space="preserve">  </w:t>
      </w:r>
      <w:r w:rsidR="00403F92" w:rsidRPr="00403F92">
        <w:rPr>
          <w:rFonts w:ascii="Times New Roman" w:hAnsi="Times New Roman" w:cs="Times New Roman"/>
          <w:sz w:val="22"/>
          <w:szCs w:val="22"/>
        </w:rPr>
        <w:t>Three justices dissented:  Justices Roberts and Reed stated that they</w:t>
      </w:r>
      <w:r w:rsidR="00403F92" w:rsidRPr="00403F92">
        <w:rPr>
          <w:rFonts w:ascii="Times New Roman" w:hAnsi="Times New Roman" w:cs="Times New Roman"/>
          <w:color w:val="333333"/>
          <w:sz w:val="22"/>
          <w:szCs w:val="22"/>
          <w:shd w:val="clear" w:color="auto" w:fill="FFFFFF"/>
        </w:rPr>
        <w:t xml:space="preserve"> “</w:t>
      </w:r>
      <w:r w:rsidR="00403F92" w:rsidRPr="00403F92">
        <w:rPr>
          <w:rFonts w:ascii="Times New Roman" w:eastAsia="Times New Roman" w:hAnsi="Times New Roman" w:cs="Times New Roman"/>
          <w:color w:val="333333"/>
          <w:sz w:val="22"/>
          <w:szCs w:val="22"/>
          <w:shd w:val="clear" w:color="auto" w:fill="FFFFFF"/>
        </w:rPr>
        <w:t>adhere[d] to the views expressed by the Court in </w:t>
      </w:r>
      <w:r w:rsidR="00403F92" w:rsidRPr="00403F92">
        <w:rPr>
          <w:rFonts w:ascii="Times New Roman" w:eastAsia="Times New Roman" w:hAnsi="Times New Roman" w:cs="Times New Roman"/>
          <w:i/>
          <w:iCs/>
          <w:color w:val="333333"/>
          <w:sz w:val="22"/>
          <w:szCs w:val="22"/>
          <w:shd w:val="clear" w:color="auto" w:fill="FFFFFF"/>
        </w:rPr>
        <w:t>Minersville School</w:t>
      </w:r>
      <w:r w:rsidR="00403F92" w:rsidRPr="00403F92">
        <w:rPr>
          <w:rFonts w:ascii="Times New Roman" w:eastAsia="Times New Roman" w:hAnsi="Times New Roman" w:cs="Times New Roman"/>
          <w:color w:val="333333"/>
          <w:sz w:val="22"/>
          <w:szCs w:val="22"/>
          <w:shd w:val="clear" w:color="auto" w:fill="FFFFFF"/>
        </w:rPr>
        <w:t> </w:t>
      </w:r>
      <w:r w:rsidR="00403F92" w:rsidRPr="00403F92">
        <w:rPr>
          <w:rFonts w:ascii="Times New Roman" w:eastAsia="Times New Roman" w:hAnsi="Times New Roman" w:cs="Times New Roman"/>
          <w:i/>
          <w:iCs/>
          <w:color w:val="333333"/>
          <w:sz w:val="22"/>
          <w:szCs w:val="22"/>
          <w:shd w:val="clear" w:color="auto" w:fill="FFFFFF"/>
        </w:rPr>
        <w:t>District</w:t>
      </w:r>
      <w:r w:rsidR="00BD2633">
        <w:rPr>
          <w:rFonts w:ascii="Times New Roman" w:eastAsia="Times New Roman" w:hAnsi="Times New Roman" w:cs="Times New Roman"/>
          <w:i/>
          <w:iCs/>
          <w:color w:val="333333"/>
          <w:sz w:val="22"/>
          <w:szCs w:val="22"/>
          <w:shd w:val="clear" w:color="auto" w:fill="FFFFFF"/>
        </w:rPr>
        <w:t xml:space="preserve"> </w:t>
      </w:r>
      <w:r w:rsidR="00403F92" w:rsidRPr="00BD2633">
        <w:rPr>
          <w:rFonts w:ascii="Times New Roman" w:eastAsia="Times New Roman" w:hAnsi="Times New Roman" w:cs="Times New Roman"/>
          <w:i/>
          <w:iCs/>
          <w:color w:val="333333"/>
          <w:sz w:val="22"/>
          <w:szCs w:val="22"/>
          <w:shd w:val="clear" w:color="auto" w:fill="FFFFFF"/>
        </w:rPr>
        <w:t>v.</w:t>
      </w:r>
      <w:r w:rsidR="00403F92" w:rsidRPr="00403F92">
        <w:rPr>
          <w:rFonts w:ascii="Times New Roman" w:eastAsia="Times New Roman" w:hAnsi="Times New Roman" w:cs="Times New Roman"/>
          <w:color w:val="333333"/>
          <w:sz w:val="22"/>
          <w:szCs w:val="22"/>
          <w:shd w:val="clear" w:color="auto" w:fill="FFFFFF"/>
        </w:rPr>
        <w:t> </w:t>
      </w:r>
      <w:r w:rsidR="00403F92" w:rsidRPr="00403F92">
        <w:rPr>
          <w:rFonts w:ascii="Times New Roman" w:eastAsia="Times New Roman" w:hAnsi="Times New Roman" w:cs="Times New Roman"/>
          <w:i/>
          <w:iCs/>
          <w:color w:val="333333"/>
          <w:sz w:val="22"/>
          <w:szCs w:val="22"/>
          <w:shd w:val="clear" w:color="auto" w:fill="FFFFFF"/>
        </w:rPr>
        <w:t>Gobitis,</w:t>
      </w:r>
      <w:r w:rsidR="00403F92" w:rsidRPr="00403F92">
        <w:rPr>
          <w:rFonts w:ascii="Times New Roman" w:eastAsia="Times New Roman" w:hAnsi="Times New Roman" w:cs="Times New Roman"/>
          <w:color w:val="333333"/>
          <w:sz w:val="22"/>
          <w:szCs w:val="22"/>
          <w:shd w:val="clear" w:color="auto" w:fill="FFFFFF"/>
        </w:rPr>
        <w:t> </w:t>
      </w:r>
      <w:r w:rsidR="00403F92" w:rsidRPr="00403F92">
        <w:rPr>
          <w:rFonts w:ascii="Times New Roman" w:eastAsia="Times New Roman" w:hAnsi="Times New Roman" w:cs="Times New Roman"/>
          <w:color w:val="333333"/>
          <w:sz w:val="22"/>
          <w:szCs w:val="22"/>
          <w:bdr w:val="none" w:sz="0" w:space="0" w:color="auto" w:frame="1"/>
          <w:shd w:val="clear" w:color="auto" w:fill="FFFFFF"/>
        </w:rPr>
        <w:t xml:space="preserve">. . </w:t>
      </w:r>
      <w:r w:rsidR="00403F92" w:rsidRPr="00403F92">
        <w:rPr>
          <w:rFonts w:ascii="Times New Roman" w:eastAsia="Times New Roman" w:hAnsi="Times New Roman" w:cs="Times New Roman"/>
          <w:color w:val="333333"/>
          <w:sz w:val="22"/>
          <w:szCs w:val="22"/>
          <w:shd w:val="clear" w:color="auto" w:fill="FFFFFF"/>
        </w:rPr>
        <w:t>”</w:t>
      </w:r>
      <w:r w:rsidR="00BD2633">
        <w:rPr>
          <w:rFonts w:ascii="Times New Roman" w:eastAsia="Times New Roman" w:hAnsi="Times New Roman" w:cs="Times New Roman"/>
          <w:color w:val="333333"/>
          <w:sz w:val="22"/>
          <w:szCs w:val="22"/>
          <w:shd w:val="clear" w:color="auto" w:fill="FFFFFF"/>
        </w:rPr>
        <w:t>;</w:t>
      </w:r>
      <w:r w:rsidR="00403F92" w:rsidRPr="00403F92">
        <w:rPr>
          <w:rFonts w:ascii="Times New Roman" w:eastAsia="Times New Roman" w:hAnsi="Times New Roman" w:cs="Times New Roman"/>
          <w:color w:val="333333"/>
          <w:sz w:val="22"/>
          <w:szCs w:val="22"/>
          <w:shd w:val="clear" w:color="auto" w:fill="FFFFFF"/>
        </w:rPr>
        <w:t xml:space="preserve"> Justice Frankurter filed a dissenting opinion focusing on the role of the judiciary branch versus that of the legislature.</w:t>
      </w:r>
    </w:p>
    <w:p w:rsidR="008F373C" w:rsidRDefault="008F373C" w:rsidP="00403F9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AF" w:rsidRDefault="00B567AF" w:rsidP="000A12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67AF" w:rsidRDefault="00B567AF" w:rsidP="00B567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AF" w:rsidRDefault="00B567AF" w:rsidP="000A12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7CAD">
      <w:rPr>
        <w:rStyle w:val="PageNumber"/>
        <w:noProof/>
      </w:rPr>
      <w:t>1</w:t>
    </w:r>
    <w:r>
      <w:rPr>
        <w:rStyle w:val="PageNumber"/>
      </w:rPr>
      <w:fldChar w:fldCharType="end"/>
    </w:r>
  </w:p>
  <w:p w:rsidR="00B567AF" w:rsidRDefault="00B567AF" w:rsidP="00B567A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6B"/>
    <w:rsid w:val="00211B59"/>
    <w:rsid w:val="0025527F"/>
    <w:rsid w:val="00401EA4"/>
    <w:rsid w:val="00403F92"/>
    <w:rsid w:val="00641A67"/>
    <w:rsid w:val="006A5AE0"/>
    <w:rsid w:val="007009D5"/>
    <w:rsid w:val="007E61FF"/>
    <w:rsid w:val="008A4391"/>
    <w:rsid w:val="008E2461"/>
    <w:rsid w:val="008F373C"/>
    <w:rsid w:val="00AE1242"/>
    <w:rsid w:val="00B17A6B"/>
    <w:rsid w:val="00B567AF"/>
    <w:rsid w:val="00BB5319"/>
    <w:rsid w:val="00BD2633"/>
    <w:rsid w:val="00CB6895"/>
    <w:rsid w:val="00D06AF0"/>
    <w:rsid w:val="00D67B09"/>
    <w:rsid w:val="00D96CD6"/>
    <w:rsid w:val="00E610C0"/>
    <w:rsid w:val="00F94F1A"/>
    <w:rsid w:val="00FB7C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618BD-F378-4C84-AA70-8EADCE53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C70"/>
  </w:style>
  <w:style w:type="paragraph" w:styleId="Heading2">
    <w:name w:val="heading 2"/>
    <w:basedOn w:val="Normal"/>
    <w:link w:val="Heading2Char"/>
    <w:uiPriority w:val="9"/>
    <w:rsid w:val="00B17A6B"/>
    <w:pPr>
      <w:spacing w:beforeLines="1" w:afterLines="1"/>
      <w:outlineLvl w:val="1"/>
    </w:pPr>
    <w:rPr>
      <w:rFonts w:ascii="Times" w:hAnsi="Times"/>
      <w:b/>
      <w:sz w:val="36"/>
      <w:szCs w:val="20"/>
    </w:rPr>
  </w:style>
  <w:style w:type="paragraph" w:styleId="Heading3">
    <w:name w:val="heading 3"/>
    <w:basedOn w:val="Normal"/>
    <w:link w:val="Heading3Char"/>
    <w:uiPriority w:val="9"/>
    <w:rsid w:val="00B17A6B"/>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A6B"/>
    <w:rPr>
      <w:rFonts w:ascii="Times" w:hAnsi="Times"/>
      <w:b/>
      <w:sz w:val="36"/>
      <w:szCs w:val="20"/>
    </w:rPr>
  </w:style>
  <w:style w:type="character" w:customStyle="1" w:styleId="Heading3Char">
    <w:name w:val="Heading 3 Char"/>
    <w:basedOn w:val="DefaultParagraphFont"/>
    <w:link w:val="Heading3"/>
    <w:uiPriority w:val="9"/>
    <w:rsid w:val="00B17A6B"/>
    <w:rPr>
      <w:rFonts w:ascii="Times" w:hAnsi="Times"/>
      <w:b/>
      <w:sz w:val="27"/>
      <w:szCs w:val="20"/>
    </w:rPr>
  </w:style>
  <w:style w:type="paragraph" w:styleId="Header">
    <w:name w:val="header"/>
    <w:basedOn w:val="Normal"/>
    <w:link w:val="HeaderChar"/>
    <w:uiPriority w:val="99"/>
    <w:semiHidden/>
    <w:unhideWhenUsed/>
    <w:rsid w:val="00B567AF"/>
    <w:pPr>
      <w:tabs>
        <w:tab w:val="center" w:pos="4320"/>
        <w:tab w:val="right" w:pos="8640"/>
      </w:tabs>
      <w:spacing w:after="0"/>
    </w:pPr>
  </w:style>
  <w:style w:type="character" w:customStyle="1" w:styleId="HeaderChar">
    <w:name w:val="Header Char"/>
    <w:basedOn w:val="DefaultParagraphFont"/>
    <w:link w:val="Header"/>
    <w:uiPriority w:val="99"/>
    <w:semiHidden/>
    <w:rsid w:val="00B567AF"/>
  </w:style>
  <w:style w:type="character" w:styleId="PageNumber">
    <w:name w:val="page number"/>
    <w:basedOn w:val="DefaultParagraphFont"/>
    <w:uiPriority w:val="99"/>
    <w:semiHidden/>
    <w:unhideWhenUsed/>
    <w:rsid w:val="00B567AF"/>
  </w:style>
  <w:style w:type="paragraph" w:styleId="BalloonText">
    <w:name w:val="Balloon Text"/>
    <w:basedOn w:val="Normal"/>
    <w:link w:val="BalloonTextChar"/>
    <w:uiPriority w:val="99"/>
    <w:semiHidden/>
    <w:unhideWhenUsed/>
    <w:rsid w:val="00B567A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567AF"/>
    <w:rPr>
      <w:rFonts w:ascii="Lucida Grande" w:hAnsi="Lucida Grande"/>
      <w:sz w:val="18"/>
      <w:szCs w:val="18"/>
    </w:rPr>
  </w:style>
  <w:style w:type="paragraph" w:styleId="FootnoteText">
    <w:name w:val="footnote text"/>
    <w:basedOn w:val="Normal"/>
    <w:link w:val="FootnoteTextChar"/>
    <w:uiPriority w:val="99"/>
    <w:unhideWhenUsed/>
    <w:rsid w:val="008F373C"/>
    <w:pPr>
      <w:spacing w:after="0"/>
    </w:pPr>
    <w:rPr>
      <w:sz w:val="20"/>
      <w:szCs w:val="20"/>
    </w:rPr>
  </w:style>
  <w:style w:type="character" w:customStyle="1" w:styleId="FootnoteTextChar">
    <w:name w:val="Footnote Text Char"/>
    <w:basedOn w:val="DefaultParagraphFont"/>
    <w:link w:val="FootnoteText"/>
    <w:uiPriority w:val="99"/>
    <w:rsid w:val="008F373C"/>
    <w:rPr>
      <w:sz w:val="20"/>
      <w:szCs w:val="20"/>
    </w:rPr>
  </w:style>
  <w:style w:type="character" w:styleId="FootnoteReference">
    <w:name w:val="footnote reference"/>
    <w:basedOn w:val="DefaultParagraphFont"/>
    <w:uiPriority w:val="99"/>
    <w:semiHidden/>
    <w:unhideWhenUsed/>
    <w:rsid w:val="008F373C"/>
    <w:rPr>
      <w:vertAlign w:val="superscript"/>
    </w:rPr>
  </w:style>
  <w:style w:type="character" w:customStyle="1" w:styleId="star-pagination">
    <w:name w:val="star-pagination"/>
    <w:basedOn w:val="DefaultParagraphFont"/>
    <w:rsid w:val="00403F92"/>
  </w:style>
  <w:style w:type="character" w:customStyle="1" w:styleId="citation">
    <w:name w:val="citation"/>
    <w:basedOn w:val="DefaultParagraphFont"/>
    <w:rsid w:val="00403F92"/>
  </w:style>
  <w:style w:type="character" w:styleId="Hyperlink">
    <w:name w:val="Hyperlink"/>
    <w:basedOn w:val="DefaultParagraphFont"/>
    <w:uiPriority w:val="99"/>
    <w:semiHidden/>
    <w:unhideWhenUsed/>
    <w:rsid w:val="00403F92"/>
    <w:rPr>
      <w:color w:val="0000FF"/>
      <w:u w:val="single"/>
    </w:rPr>
  </w:style>
  <w:style w:type="character" w:customStyle="1" w:styleId="volume">
    <w:name w:val="volume"/>
    <w:basedOn w:val="DefaultParagraphFont"/>
    <w:rsid w:val="00403F92"/>
  </w:style>
  <w:style w:type="character" w:customStyle="1" w:styleId="reporter">
    <w:name w:val="reporter"/>
    <w:basedOn w:val="DefaultParagraphFont"/>
    <w:rsid w:val="00403F92"/>
  </w:style>
  <w:style w:type="character" w:customStyle="1" w:styleId="page">
    <w:name w:val="page"/>
    <w:basedOn w:val="DefaultParagraphFont"/>
    <w:rsid w:val="0040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31245">
      <w:bodyDiv w:val="1"/>
      <w:marLeft w:val="0"/>
      <w:marRight w:val="0"/>
      <w:marTop w:val="0"/>
      <w:marBottom w:val="0"/>
      <w:divBdr>
        <w:top w:val="none" w:sz="0" w:space="0" w:color="auto"/>
        <w:left w:val="none" w:sz="0" w:space="0" w:color="auto"/>
        <w:bottom w:val="none" w:sz="0" w:space="0" w:color="auto"/>
        <w:right w:val="none" w:sz="0" w:space="0" w:color="auto"/>
      </w:divBdr>
    </w:div>
    <w:div w:id="1813019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Columbus School of Law</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Duggin</dc:creator>
  <cp:lastModifiedBy>Katie Crowley</cp:lastModifiedBy>
  <cp:revision>2</cp:revision>
  <cp:lastPrinted>2019-07-17T19:10:00Z</cp:lastPrinted>
  <dcterms:created xsi:type="dcterms:W3CDTF">2019-07-18T16:44:00Z</dcterms:created>
  <dcterms:modified xsi:type="dcterms:W3CDTF">2019-07-18T16:44:00Z</dcterms:modified>
</cp:coreProperties>
</file>