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A3C2F" w14:textId="0F3D41D9" w:rsidR="00900702" w:rsidRPr="00900702" w:rsidRDefault="0098484F" w:rsidP="00164AD2">
      <w:pPr>
        <w:jc w:val="both"/>
        <w:rPr>
          <w:b/>
          <w:bCs/>
        </w:rPr>
      </w:pPr>
      <w:r>
        <w:rPr>
          <w:b/>
          <w:bCs/>
        </w:rPr>
        <w:t>Allison Kent Trumbull</w:t>
      </w:r>
    </w:p>
    <w:p w14:paraId="38DA9802" w14:textId="4871B4E9" w:rsidR="000E6D95" w:rsidRDefault="004C2663" w:rsidP="00164AD2">
      <w:pPr>
        <w:jc w:val="both"/>
      </w:pPr>
      <w:r>
        <w:t>Allison Kent Trumbull</w:t>
      </w:r>
      <w:r w:rsidR="00900702" w:rsidRPr="00900702">
        <w:t xml:space="preserve"> </w:t>
      </w:r>
      <w:r w:rsidRPr="004C2663">
        <w:t xml:space="preserve">is a member of </w:t>
      </w:r>
      <w:r w:rsidR="002372FE">
        <w:t>Dechert LLP’s</w:t>
      </w:r>
      <w:r w:rsidRPr="004C2663">
        <w:t xml:space="preserve"> Financial Services and Investment Management group and </w:t>
      </w:r>
      <w:r w:rsidR="00AD4B58">
        <w:t xml:space="preserve">a leading counsel </w:t>
      </w:r>
      <w:r w:rsidRPr="004C2663">
        <w:t xml:space="preserve">on the Global Distribution team. </w:t>
      </w:r>
      <w:r w:rsidR="009262EE">
        <w:t xml:space="preserve">Her practice focuses on </w:t>
      </w:r>
      <w:r w:rsidRPr="004C2663">
        <w:t xml:space="preserve">advising </w:t>
      </w:r>
      <w:r w:rsidR="002817F8">
        <w:t xml:space="preserve">investment advisers </w:t>
      </w:r>
      <w:r w:rsidRPr="004C2663">
        <w:t xml:space="preserve">and </w:t>
      </w:r>
      <w:r w:rsidR="00F6134B">
        <w:t xml:space="preserve">financial institutions </w:t>
      </w:r>
      <w:r w:rsidR="00B46CF7">
        <w:t xml:space="preserve">on </w:t>
      </w:r>
      <w:r w:rsidR="00B46CF7" w:rsidRPr="00CE0A03">
        <w:t xml:space="preserve">regulatory, </w:t>
      </w:r>
      <w:r w:rsidR="006522CA">
        <w:t xml:space="preserve">transactional, </w:t>
      </w:r>
      <w:r w:rsidR="00B46CF7" w:rsidRPr="00CE0A03">
        <w:t>corporate and compliance matters</w:t>
      </w:r>
      <w:r w:rsidR="00B46CF7">
        <w:t xml:space="preserve"> with respect to</w:t>
      </w:r>
      <w:r w:rsidRPr="004C2663">
        <w:t xml:space="preserve"> cross-border</w:t>
      </w:r>
      <w:r w:rsidR="005D0D99">
        <w:t xml:space="preserve"> </w:t>
      </w:r>
      <w:r w:rsidR="000D7684">
        <w:t>marketing</w:t>
      </w:r>
      <w:r w:rsidR="0083036B">
        <w:t xml:space="preserve">, the </w:t>
      </w:r>
      <w:r w:rsidRPr="004C2663">
        <w:t>provision of financial services</w:t>
      </w:r>
      <w:r w:rsidR="00905F3C">
        <w:t xml:space="preserve"> and </w:t>
      </w:r>
      <w:r w:rsidR="0083036B">
        <w:t xml:space="preserve">selling </w:t>
      </w:r>
      <w:r w:rsidR="000E6D95">
        <w:t>investment</w:t>
      </w:r>
      <w:r w:rsidR="00905F3C">
        <w:t xml:space="preserve"> products</w:t>
      </w:r>
      <w:r w:rsidR="000E6D95">
        <w:t xml:space="preserve">. Ms. Trumbull </w:t>
      </w:r>
      <w:r w:rsidR="009C60D6" w:rsidRPr="00900702">
        <w:t xml:space="preserve">advises </w:t>
      </w:r>
      <w:r w:rsidR="00FB4E38">
        <w:t xml:space="preserve">non-U.S. </w:t>
      </w:r>
      <w:r w:rsidR="009C60D6" w:rsidRPr="00900702">
        <w:t>funds on compliance with U.S. regulatory requirements</w:t>
      </w:r>
      <w:r w:rsidR="00FB4E38">
        <w:t xml:space="preserve"> and </w:t>
      </w:r>
      <w:r w:rsidR="0014131B" w:rsidRPr="00900702">
        <w:t>assist</w:t>
      </w:r>
      <w:r w:rsidR="0014131B">
        <w:t>s</w:t>
      </w:r>
      <w:r w:rsidR="0014131B" w:rsidRPr="00900702">
        <w:t xml:space="preserve"> clients </w:t>
      </w:r>
      <w:r w:rsidR="00E67401">
        <w:t xml:space="preserve">with </w:t>
      </w:r>
      <w:r w:rsidR="00E67401" w:rsidRPr="00E67401">
        <w:t xml:space="preserve">registrations, </w:t>
      </w:r>
      <w:r w:rsidR="00EB17F1">
        <w:t xml:space="preserve">licenses, </w:t>
      </w:r>
      <w:r w:rsidR="00E67401" w:rsidRPr="00E67401">
        <w:t>regulatory filings</w:t>
      </w:r>
      <w:r w:rsidR="00F74A60">
        <w:t xml:space="preserve"> and </w:t>
      </w:r>
      <w:r w:rsidR="00E67401" w:rsidRPr="00E67401">
        <w:t xml:space="preserve">disclosure </w:t>
      </w:r>
      <w:r w:rsidR="003B3109" w:rsidRPr="00E67401">
        <w:t>obligations</w:t>
      </w:r>
      <w:r w:rsidR="0014131B" w:rsidRPr="00900702">
        <w:t xml:space="preserve"> </w:t>
      </w:r>
      <w:r w:rsidR="00F74A60">
        <w:t xml:space="preserve">in </w:t>
      </w:r>
      <w:r w:rsidR="0014131B" w:rsidRPr="00900702">
        <w:t xml:space="preserve">compliance with local law </w:t>
      </w:r>
      <w:r w:rsidR="00F65740">
        <w:t>in</w:t>
      </w:r>
      <w:r w:rsidR="0014131B" w:rsidRPr="00900702">
        <w:t xml:space="preserve"> </w:t>
      </w:r>
      <w:r w:rsidR="00F65740">
        <w:t xml:space="preserve">a variety of global </w:t>
      </w:r>
      <w:r w:rsidR="0014131B" w:rsidRPr="00900702">
        <w:t>jurisdictions</w:t>
      </w:r>
      <w:r w:rsidR="00F65740">
        <w:t xml:space="preserve">. </w:t>
      </w:r>
      <w:r w:rsidR="0014131B" w:rsidRPr="00900702">
        <w:t xml:space="preserve"> </w:t>
      </w:r>
    </w:p>
    <w:p w14:paraId="7C0632D5" w14:textId="1AC6DDB5" w:rsidR="002D0ED6" w:rsidRPr="002D0ED6" w:rsidRDefault="00077033" w:rsidP="00164AD2">
      <w:pPr>
        <w:jc w:val="both"/>
      </w:pPr>
      <w:r>
        <w:t xml:space="preserve">Ms. Trumbull has over </w:t>
      </w:r>
      <w:r w:rsidR="00E52FB5">
        <w:t>20</w:t>
      </w:r>
      <w:r>
        <w:t xml:space="preserve"> years of </w:t>
      </w:r>
      <w:r w:rsidR="00684000">
        <w:t xml:space="preserve">experience in the </w:t>
      </w:r>
      <w:r>
        <w:t xml:space="preserve">financial services </w:t>
      </w:r>
      <w:r w:rsidR="00684000">
        <w:t>industry</w:t>
      </w:r>
      <w:r>
        <w:t>. Prior to joining Dechert</w:t>
      </w:r>
      <w:r w:rsidR="00AB03F7">
        <w:t>, she</w:t>
      </w:r>
      <w:r>
        <w:t xml:space="preserve"> </w:t>
      </w:r>
      <w:r w:rsidR="00A06DCA">
        <w:t>served as</w:t>
      </w:r>
      <w:r>
        <w:t xml:space="preserve"> </w:t>
      </w:r>
      <w:r w:rsidR="00FA3AAF">
        <w:t>h</w:t>
      </w:r>
      <w:r>
        <w:t>ead of U.S. Legal and Compliance at Arabesque Group, a</w:t>
      </w:r>
      <w:r w:rsidR="004A4B44">
        <w:t xml:space="preserve"> U.K.</w:t>
      </w:r>
      <w:r w:rsidR="00D91005">
        <w:t>-</w:t>
      </w:r>
      <w:r w:rsidR="004A4B44">
        <w:t xml:space="preserve">based </w:t>
      </w:r>
      <w:r>
        <w:t>start-up offering sustainable investment</w:t>
      </w:r>
      <w:r w:rsidR="00F13228">
        <w:t xml:space="preserve"> strategies</w:t>
      </w:r>
      <w:r w:rsidR="001C0D45">
        <w:t xml:space="preserve"> </w:t>
      </w:r>
      <w:r>
        <w:t>and data services globally</w:t>
      </w:r>
      <w:r w:rsidR="001344A0">
        <w:t xml:space="preserve">, and prior to that, Ms. Trumbull </w:t>
      </w:r>
      <w:r w:rsidR="00A06DCA">
        <w:t xml:space="preserve">was </w:t>
      </w:r>
      <w:r w:rsidR="008F5BF2">
        <w:t>counsel to t</w:t>
      </w:r>
      <w:r w:rsidR="008C1389">
        <w:t xml:space="preserve">he global advisory and distribution </w:t>
      </w:r>
      <w:r w:rsidR="00741680">
        <w:t xml:space="preserve">business </w:t>
      </w:r>
      <w:r w:rsidR="008C1389">
        <w:t xml:space="preserve">at </w:t>
      </w:r>
      <w:proofErr w:type="spellStart"/>
      <w:r>
        <w:t>BrightSphere</w:t>
      </w:r>
      <w:proofErr w:type="spellEnd"/>
      <w:r>
        <w:t xml:space="preserve"> Investment Group</w:t>
      </w:r>
      <w:r w:rsidR="00D763B8">
        <w:t xml:space="preserve"> based in Boston</w:t>
      </w:r>
      <w:r>
        <w:t xml:space="preserve">. </w:t>
      </w:r>
      <w:r w:rsidR="002D0ED6" w:rsidRPr="002D0ED6">
        <w:t xml:space="preserve">Prior to </w:t>
      </w:r>
      <w:proofErr w:type="spellStart"/>
      <w:r w:rsidR="002D0ED6" w:rsidRPr="002D0ED6">
        <w:t>BrightSphere</w:t>
      </w:r>
      <w:proofErr w:type="spellEnd"/>
      <w:r w:rsidR="002D0ED6" w:rsidRPr="002D0ED6">
        <w:t>, Ms. Trumbull was counsel at State Street Global Advisors where she served as the firm’s subject matter expert on global distribution</w:t>
      </w:r>
      <w:r w:rsidR="00C925B1">
        <w:t>,</w:t>
      </w:r>
      <w:r w:rsidR="002D0ED6" w:rsidRPr="002D0ED6">
        <w:t xml:space="preserve"> </w:t>
      </w:r>
      <w:r w:rsidR="00385550">
        <w:t>including</w:t>
      </w:r>
      <w:r w:rsidR="006F4677">
        <w:t xml:space="preserve"> </w:t>
      </w:r>
      <w:r w:rsidR="00385550" w:rsidRPr="002D0ED6">
        <w:t>cross-border private marketing and cross-listed offerings throughout North America, Latin America and Asia Pacific</w:t>
      </w:r>
      <w:r w:rsidR="00A93C0E">
        <w:t xml:space="preserve">, and regularly advised </w:t>
      </w:r>
      <w:r w:rsidR="00912D67">
        <w:t xml:space="preserve">the </w:t>
      </w:r>
      <w:r w:rsidR="002D0ED6" w:rsidRPr="002D0ED6">
        <w:t xml:space="preserve">business </w:t>
      </w:r>
      <w:r w:rsidR="00912D67">
        <w:t>with respect to</w:t>
      </w:r>
      <w:r w:rsidR="002D0ED6" w:rsidRPr="002D0ED6">
        <w:t xml:space="preserve"> EU </w:t>
      </w:r>
      <w:r w:rsidR="00A93C0E">
        <w:t xml:space="preserve">and </w:t>
      </w:r>
      <w:r w:rsidR="00CD2BAB">
        <w:t xml:space="preserve">global </w:t>
      </w:r>
      <w:r w:rsidR="002D0ED6" w:rsidRPr="002D0ED6">
        <w:t>regulatory developments</w:t>
      </w:r>
      <w:r w:rsidR="00CD2BAB">
        <w:t>.</w:t>
      </w:r>
    </w:p>
    <w:p w14:paraId="0C08770E" w14:textId="05623DF0" w:rsidR="00065329" w:rsidRDefault="00077033" w:rsidP="00164AD2">
      <w:pPr>
        <w:jc w:val="both"/>
      </w:pPr>
      <w:r>
        <w:t>Ms. Trumbull began her legal career with Dechert in 2011, afte</w:t>
      </w:r>
      <w:r w:rsidR="006500CE">
        <w:t xml:space="preserve">r </w:t>
      </w:r>
      <w:r>
        <w:t xml:space="preserve">several years with State Street </w:t>
      </w:r>
      <w:r w:rsidR="002B77F3">
        <w:t>in the</w:t>
      </w:r>
      <w:r>
        <w:t xml:space="preserve"> asset management institutional sales business.</w:t>
      </w:r>
    </w:p>
    <w:p w14:paraId="7196B22A" w14:textId="503E690D" w:rsidR="00900702" w:rsidRPr="00900702" w:rsidRDefault="00900702" w:rsidP="00E4484A">
      <w:pPr>
        <w:spacing w:after="0"/>
        <w:jc w:val="both"/>
        <w:rPr>
          <w:b/>
          <w:bCs/>
        </w:rPr>
      </w:pPr>
      <w:bookmarkStart w:id="0" w:name="Education"/>
      <w:bookmarkEnd w:id="0"/>
      <w:r w:rsidRPr="00900702">
        <w:rPr>
          <w:b/>
          <w:bCs/>
        </w:rPr>
        <w:t>Education</w:t>
      </w:r>
    </w:p>
    <w:p w14:paraId="3D3DDB3C" w14:textId="28351F62" w:rsidR="00900702" w:rsidRPr="00900702" w:rsidRDefault="0094785C" w:rsidP="0051633B">
      <w:pPr>
        <w:numPr>
          <w:ilvl w:val="0"/>
          <w:numId w:val="1"/>
        </w:numPr>
        <w:spacing w:after="0"/>
        <w:jc w:val="both"/>
      </w:pPr>
      <w:r>
        <w:t>Hamilton Coll</w:t>
      </w:r>
      <w:r w:rsidR="00745E14">
        <w:t>ege</w:t>
      </w:r>
      <w:r w:rsidR="00900702" w:rsidRPr="00900702">
        <w:t xml:space="preserve">, B.A., </w:t>
      </w:r>
      <w:r w:rsidR="008E62FD">
        <w:t>2004</w:t>
      </w:r>
    </w:p>
    <w:p w14:paraId="09106EE2" w14:textId="5FBFC343" w:rsidR="00900702" w:rsidRPr="00900702" w:rsidRDefault="008E62FD" w:rsidP="00164AD2">
      <w:pPr>
        <w:numPr>
          <w:ilvl w:val="0"/>
          <w:numId w:val="1"/>
        </w:numPr>
        <w:jc w:val="both"/>
        <w:rPr>
          <w:i/>
        </w:rPr>
      </w:pPr>
      <w:r>
        <w:t xml:space="preserve">Suffolk </w:t>
      </w:r>
      <w:r w:rsidR="00044C12">
        <w:t xml:space="preserve">University </w:t>
      </w:r>
      <w:r w:rsidR="00044C12" w:rsidRPr="00900702">
        <w:t>Law</w:t>
      </w:r>
      <w:r>
        <w:t xml:space="preserve"> School</w:t>
      </w:r>
      <w:r w:rsidR="00900702" w:rsidRPr="00900702">
        <w:t xml:space="preserve">, J.D., </w:t>
      </w:r>
      <w:r>
        <w:t>2012</w:t>
      </w:r>
    </w:p>
    <w:p w14:paraId="52537F2C" w14:textId="78B83C7D" w:rsidR="00900702" w:rsidRPr="00900702" w:rsidRDefault="00900702" w:rsidP="00E4484A">
      <w:pPr>
        <w:spacing w:after="0"/>
        <w:jc w:val="both"/>
        <w:rPr>
          <w:b/>
          <w:bCs/>
        </w:rPr>
      </w:pPr>
      <w:r w:rsidRPr="00900702">
        <w:rPr>
          <w:b/>
          <w:bCs/>
        </w:rPr>
        <w:t>Admission</w:t>
      </w:r>
    </w:p>
    <w:p w14:paraId="277202F2" w14:textId="125438DB" w:rsidR="00900702" w:rsidRDefault="00900702" w:rsidP="00164AD2">
      <w:pPr>
        <w:pStyle w:val="ListParagraph"/>
        <w:numPr>
          <w:ilvl w:val="0"/>
          <w:numId w:val="1"/>
        </w:numPr>
        <w:jc w:val="both"/>
      </w:pPr>
      <w:r>
        <w:t>Massachusetts</w:t>
      </w:r>
    </w:p>
    <w:p w14:paraId="7062E561" w14:textId="77777777" w:rsidR="00A23520" w:rsidRDefault="00A23520" w:rsidP="00164AD2">
      <w:pPr>
        <w:jc w:val="both"/>
        <w:rPr>
          <w:b/>
          <w:bCs/>
        </w:rPr>
      </w:pPr>
    </w:p>
    <w:p w14:paraId="31FF53A8" w14:textId="5A906441" w:rsidR="00F50F47" w:rsidRDefault="00F50F47" w:rsidP="00164AD2">
      <w:pPr>
        <w:jc w:val="both"/>
        <w:rPr>
          <w:b/>
          <w:bCs/>
        </w:rPr>
      </w:pPr>
      <w:r w:rsidRPr="00F50F47">
        <w:rPr>
          <w:b/>
          <w:bCs/>
        </w:rPr>
        <w:t>Robert S. H. Shapiro </w:t>
      </w:r>
    </w:p>
    <w:p w14:paraId="07CF510E" w14:textId="77777777" w:rsidR="00BA7F33" w:rsidRDefault="00BA7F33" w:rsidP="00164AD2">
      <w:pPr>
        <w:jc w:val="both"/>
      </w:pPr>
      <w:r>
        <w:t>Robert S. H. Shapiro is a partner in Dechert’s financial services group. Mr. Shapiro brings a rich blend of public and private sector experience to Dechert LLP. With a robust background in securities regulation and investment management, he excels in providing nuanced legal and policy analysis on complex issues.</w:t>
      </w:r>
    </w:p>
    <w:p w14:paraId="425DEF79" w14:textId="77777777" w:rsidR="00BA7F33" w:rsidRDefault="00BA7F33" w:rsidP="00164AD2">
      <w:pPr>
        <w:jc w:val="both"/>
      </w:pPr>
      <w:r>
        <w:t>Mr. Shapiro previously served as Assistant Chief Counsel in the Division of Investment Management of the U.S. Securities and Exchange Commission. In that role, he oversaw the provision of guidance relating to the Investment Advisers Act and the Invest</w:t>
      </w:r>
      <w:r w:rsidRPr="00442105">
        <w:t>ment Company Act. This included extensive guidance to the Divisions of Enforcement and Examinations on issues concerning investment advisers, investment companies, and private funds. His</w:t>
      </w:r>
      <w:r>
        <w:t xml:space="preserve"> expertise encompasses a wide range of regulatory issues, including investment adviser marketing, digital assets, </w:t>
      </w:r>
      <w:proofErr w:type="spellStart"/>
      <w:r>
        <w:t>robo</w:t>
      </w:r>
      <w:proofErr w:type="spellEnd"/>
      <w:r>
        <w:t>-advisers, anti-money laundering, and various advisory and compliance matters.</w:t>
      </w:r>
    </w:p>
    <w:p w14:paraId="28B8DF35" w14:textId="77777777" w:rsidR="00BA7F33" w:rsidRDefault="00BA7F33" w:rsidP="00164AD2">
      <w:pPr>
        <w:jc w:val="both"/>
      </w:pPr>
    </w:p>
    <w:p w14:paraId="5757BD75" w14:textId="77777777" w:rsidR="00BA7F33" w:rsidRDefault="00BA7F33" w:rsidP="00164AD2">
      <w:pPr>
        <w:jc w:val="both"/>
      </w:pPr>
      <w:r>
        <w:lastRenderedPageBreak/>
        <w:t>Prior to his role at the SEC, Mr. Shapiro served as Vice President and Corporate Counsel at a major insurance company, where he supported the retail advisory and brokerage businesses. He was instrumental in developing legal guidelines for the implementation of Regulation Best Interest and overseeing the legal parameters for the launches of new financial products. His role required meticulous analysis of conflicts and advertisement regulations under the Advisers Act and FINRA rules.</w:t>
      </w:r>
    </w:p>
    <w:p w14:paraId="6B0009A4" w14:textId="77777777" w:rsidR="00BA7F33" w:rsidRDefault="00BA7F33" w:rsidP="00164AD2">
      <w:pPr>
        <w:jc w:val="both"/>
      </w:pPr>
      <w:r>
        <w:t xml:space="preserve">Mr. Shapiro’s earlier roles at the SEC included Branch Chief positions, where he provided legal and policy input on novel issues and co-led efforts on </w:t>
      </w:r>
      <w:proofErr w:type="spellStart"/>
      <w:r>
        <w:t>robo</w:t>
      </w:r>
      <w:proofErr w:type="spellEnd"/>
      <w:r>
        <w:t>-advisers and non-transparent ETFs. He began his legal career as an associate in the asset management practice of a major law firm.</w:t>
      </w:r>
    </w:p>
    <w:p w14:paraId="7A6B8130" w14:textId="77777777" w:rsidR="00044C12" w:rsidRPr="00900702" w:rsidRDefault="00044C12" w:rsidP="00E4484A">
      <w:pPr>
        <w:spacing w:after="0"/>
        <w:jc w:val="both"/>
        <w:rPr>
          <w:b/>
          <w:bCs/>
        </w:rPr>
      </w:pPr>
      <w:r w:rsidRPr="00900702">
        <w:rPr>
          <w:b/>
          <w:bCs/>
        </w:rPr>
        <w:t>Education</w:t>
      </w:r>
    </w:p>
    <w:p w14:paraId="5C7ADB63" w14:textId="77777777" w:rsidR="009742EE" w:rsidRPr="009742EE" w:rsidRDefault="009742EE" w:rsidP="0051633B">
      <w:pPr>
        <w:numPr>
          <w:ilvl w:val="0"/>
          <w:numId w:val="1"/>
        </w:numPr>
        <w:spacing w:after="0"/>
        <w:jc w:val="both"/>
        <w:rPr>
          <w:i/>
        </w:rPr>
      </w:pPr>
      <w:r w:rsidRPr="009742EE">
        <w:t>University of Illinois at Urbana-Champaign, B.A., 2007, summa cum laude</w:t>
      </w:r>
    </w:p>
    <w:p w14:paraId="2C667B54" w14:textId="4D4970CB" w:rsidR="00044C12" w:rsidRPr="00900702" w:rsidRDefault="009742EE" w:rsidP="00164AD2">
      <w:pPr>
        <w:numPr>
          <w:ilvl w:val="0"/>
          <w:numId w:val="1"/>
        </w:numPr>
        <w:jc w:val="both"/>
        <w:rPr>
          <w:i/>
        </w:rPr>
      </w:pPr>
      <w:r w:rsidRPr="009742EE">
        <w:t>University of Virginia School of Law, J.D., 2010</w:t>
      </w:r>
    </w:p>
    <w:p w14:paraId="03BF3A74" w14:textId="4F4DB1F3" w:rsidR="00900702" w:rsidRPr="00900702" w:rsidRDefault="00900702" w:rsidP="00E4484A">
      <w:pPr>
        <w:spacing w:after="0"/>
        <w:jc w:val="both"/>
        <w:rPr>
          <w:b/>
          <w:bCs/>
        </w:rPr>
      </w:pPr>
      <w:r w:rsidRPr="00900702">
        <w:rPr>
          <w:b/>
          <w:bCs/>
        </w:rPr>
        <w:t>Admission</w:t>
      </w:r>
    </w:p>
    <w:p w14:paraId="4B8124AA" w14:textId="5EB9CDD1" w:rsidR="00900702" w:rsidRDefault="00044C12" w:rsidP="00164AD2">
      <w:pPr>
        <w:pStyle w:val="ListParagraph"/>
        <w:numPr>
          <w:ilvl w:val="0"/>
          <w:numId w:val="1"/>
        </w:numPr>
        <w:jc w:val="both"/>
      </w:pPr>
      <w:r>
        <w:t>District of Columbia</w:t>
      </w:r>
      <w:r w:rsidR="00900702" w:rsidRPr="00900702">
        <w:t xml:space="preserve"> and </w:t>
      </w:r>
      <w:r>
        <w:t>Virginia</w:t>
      </w:r>
    </w:p>
    <w:p w14:paraId="26988DE3" w14:textId="77777777" w:rsidR="00A23520" w:rsidRDefault="00A23520" w:rsidP="00164AD2">
      <w:pPr>
        <w:jc w:val="both"/>
        <w:rPr>
          <w:b/>
          <w:bCs/>
        </w:rPr>
      </w:pPr>
    </w:p>
    <w:p w14:paraId="5BBD0BCD" w14:textId="0299EECA" w:rsidR="001411E6" w:rsidRPr="001411E6" w:rsidRDefault="001411E6" w:rsidP="00164AD2">
      <w:pPr>
        <w:jc w:val="both"/>
        <w:rPr>
          <w:b/>
          <w:bCs/>
        </w:rPr>
      </w:pPr>
      <w:r>
        <w:rPr>
          <w:b/>
          <w:bCs/>
        </w:rPr>
        <w:t>Rebecca Lee</w:t>
      </w:r>
    </w:p>
    <w:p w14:paraId="5B23448B" w14:textId="77777777" w:rsidR="001411E6" w:rsidRDefault="001411E6" w:rsidP="001411E6">
      <w:pPr>
        <w:jc w:val="both"/>
      </w:pPr>
      <w:r>
        <w:t>Rebecca Lee brings a dynamic blend of technical expertise and strategic insight to Dechert’s global tax practice, where she advises asset managers, institutional investors and Fortune 500 companies on complex financial transactions. Her practice spans investment management, digital assets and financial products, with a focus on innovative fund structures and emerging financial technologies.</w:t>
      </w:r>
    </w:p>
    <w:p w14:paraId="4E35DF10" w14:textId="77777777" w:rsidR="001411E6" w:rsidRDefault="001411E6" w:rsidP="001411E6">
      <w:pPr>
        <w:jc w:val="both"/>
      </w:pPr>
      <w:r>
        <w:t>Ms. Lee has extensive experience with exchange-traded funds, mutual funds, closed-end funds and common trust funds, as well as credit, hedge and private equity funds. She is adept at cross-border structuring, working with international fund types such as UCITS, ICAVs and RAIFs. Her digital assets practice includes advising on crypto exchange-traded products, private crypto funds and cutting-edge structures involving tokenized securities, DAOs and crypto derivatives.</w:t>
      </w:r>
    </w:p>
    <w:p w14:paraId="435D424E" w14:textId="77777777" w:rsidR="001411E6" w:rsidRDefault="001411E6" w:rsidP="001411E6">
      <w:pPr>
        <w:jc w:val="both"/>
      </w:pPr>
      <w:r>
        <w:t>She also advises on the domestic and international tax implications of financial products, including debt instruments, foreign currency, swaps and derivatives. Her work includes structuring debt-related vehicles such as REMICs, CLOs and titling trusts. Additionally, Ms. Lee represents clients before the IRS and Treasury Department on audits, private letter rulings and other regulatory matters.</w:t>
      </w:r>
    </w:p>
    <w:p w14:paraId="2CE60F6D" w14:textId="1183DA02" w:rsidR="002C4D60" w:rsidRDefault="001411E6" w:rsidP="001411E6">
      <w:pPr>
        <w:jc w:val="both"/>
      </w:pPr>
      <w:r>
        <w:t>Ms. Lee’s thought leadership includes frequent speaking engagements and published articles on tax issues affecting the investment management industry.</w:t>
      </w:r>
    </w:p>
    <w:p w14:paraId="304A138D" w14:textId="20F069A2" w:rsidR="00302553" w:rsidRPr="00302553" w:rsidRDefault="00302553" w:rsidP="00E4484A">
      <w:pPr>
        <w:spacing w:after="0"/>
        <w:jc w:val="both"/>
        <w:rPr>
          <w:b/>
          <w:bCs/>
        </w:rPr>
      </w:pPr>
      <w:r w:rsidRPr="00302553">
        <w:rPr>
          <w:b/>
          <w:bCs/>
        </w:rPr>
        <w:t>Education</w:t>
      </w:r>
    </w:p>
    <w:p w14:paraId="608806B7" w14:textId="77777777" w:rsidR="00302553" w:rsidRPr="00302553" w:rsidRDefault="00302553" w:rsidP="00302553">
      <w:pPr>
        <w:numPr>
          <w:ilvl w:val="0"/>
          <w:numId w:val="1"/>
        </w:numPr>
        <w:tabs>
          <w:tab w:val="num" w:pos="720"/>
        </w:tabs>
        <w:spacing w:after="0"/>
        <w:jc w:val="both"/>
      </w:pPr>
      <w:r w:rsidRPr="00302553">
        <w:t>College of William &amp; Mary, B.A., Economics and International Relations, 1998</w:t>
      </w:r>
    </w:p>
    <w:p w14:paraId="5D7693CA" w14:textId="77777777" w:rsidR="00302553" w:rsidRPr="00302553" w:rsidRDefault="00302553" w:rsidP="00302553">
      <w:pPr>
        <w:numPr>
          <w:ilvl w:val="0"/>
          <w:numId w:val="1"/>
        </w:numPr>
        <w:tabs>
          <w:tab w:val="num" w:pos="720"/>
        </w:tabs>
        <w:spacing w:after="0"/>
        <w:jc w:val="both"/>
      </w:pPr>
      <w:r w:rsidRPr="00302553">
        <w:t>Tulane University Law School, J.D., 2001, magna cum laude</w:t>
      </w:r>
    </w:p>
    <w:p w14:paraId="29108925" w14:textId="77777777" w:rsidR="00302553" w:rsidRPr="00302553" w:rsidRDefault="00302553" w:rsidP="00302553">
      <w:pPr>
        <w:numPr>
          <w:ilvl w:val="0"/>
          <w:numId w:val="1"/>
        </w:numPr>
        <w:tabs>
          <w:tab w:val="num" w:pos="720"/>
        </w:tabs>
        <w:spacing w:after="0"/>
        <w:jc w:val="both"/>
      </w:pPr>
      <w:r w:rsidRPr="00302553">
        <w:t>Georgetown University Law Center, LL.M. in Taxation, 2006, with distinction</w:t>
      </w:r>
    </w:p>
    <w:p w14:paraId="2AEA9E14" w14:textId="77777777" w:rsidR="003B555C" w:rsidRDefault="003B555C" w:rsidP="00E4484A">
      <w:pPr>
        <w:spacing w:after="0"/>
        <w:jc w:val="both"/>
        <w:rPr>
          <w:b/>
          <w:bCs/>
        </w:rPr>
      </w:pPr>
    </w:p>
    <w:p w14:paraId="5BDB833D" w14:textId="02E51F33" w:rsidR="00E4484A" w:rsidRPr="00E4484A" w:rsidRDefault="00E4484A" w:rsidP="00E4484A">
      <w:pPr>
        <w:spacing w:after="0"/>
        <w:jc w:val="both"/>
        <w:rPr>
          <w:b/>
          <w:bCs/>
        </w:rPr>
      </w:pPr>
      <w:r w:rsidRPr="00E4484A">
        <w:rPr>
          <w:b/>
          <w:bCs/>
        </w:rPr>
        <w:t>Admission</w:t>
      </w:r>
    </w:p>
    <w:p w14:paraId="56FE8A80" w14:textId="21296176" w:rsidR="00E4484A" w:rsidRPr="00E4484A" w:rsidRDefault="00E4484A" w:rsidP="00EF156B">
      <w:pPr>
        <w:numPr>
          <w:ilvl w:val="0"/>
          <w:numId w:val="1"/>
        </w:numPr>
        <w:tabs>
          <w:tab w:val="num" w:pos="720"/>
        </w:tabs>
        <w:spacing w:after="0"/>
        <w:jc w:val="both"/>
      </w:pPr>
      <w:r w:rsidRPr="00E4484A">
        <w:t>District of Columbia</w:t>
      </w:r>
      <w:r w:rsidR="003B555C">
        <w:t xml:space="preserve"> and </w:t>
      </w:r>
      <w:r w:rsidRPr="00E4484A">
        <w:t>Virginia</w:t>
      </w:r>
    </w:p>
    <w:p w14:paraId="2EF60AC3" w14:textId="77777777" w:rsidR="00E4484A" w:rsidRDefault="00E4484A" w:rsidP="001411E6">
      <w:pPr>
        <w:jc w:val="both"/>
        <w:rPr>
          <w:b/>
          <w:bCs/>
        </w:rPr>
      </w:pPr>
    </w:p>
    <w:p w14:paraId="312B1B3F" w14:textId="77777777" w:rsidR="003F01E9" w:rsidRDefault="003F01E9" w:rsidP="001411E6">
      <w:pPr>
        <w:jc w:val="both"/>
        <w:rPr>
          <w:b/>
          <w:bCs/>
        </w:rPr>
      </w:pPr>
    </w:p>
    <w:p w14:paraId="42767AA2" w14:textId="77777777" w:rsidR="003F01E9" w:rsidRDefault="003F01E9" w:rsidP="003F01E9">
      <w:pPr>
        <w:jc w:val="both"/>
        <w:rPr>
          <w:b/>
          <w:bCs/>
        </w:rPr>
      </w:pPr>
      <w:r w:rsidRPr="004E36FB">
        <w:rPr>
          <w:b/>
          <w:bCs/>
        </w:rPr>
        <w:t>Scott Jameson</w:t>
      </w:r>
    </w:p>
    <w:p w14:paraId="564B7251" w14:textId="77777777" w:rsidR="003F01E9" w:rsidRPr="009E3A5A" w:rsidRDefault="003F01E9" w:rsidP="003F01E9">
      <w:pPr>
        <w:jc w:val="both"/>
      </w:pPr>
      <w:r w:rsidRPr="009E3A5A">
        <w:t>Scott Jameson is a senior counsel in the Chief Counsel’s Office of the Investment Management Division. Prior to joining the SEC in 2023, he was an associate at Schulte Roth &amp; Zabel and then Linklaters, where he focused his practice on counselling private funds and their advisers on regulatory compliance issues. Mr. Jameson received his J.D., cum laude, from the Georgetown University Law Center and received a B.A. in History and Economics from the University of Texas.</w:t>
      </w:r>
    </w:p>
    <w:p w14:paraId="276D629F" w14:textId="77777777" w:rsidR="003F01E9" w:rsidRDefault="003F01E9" w:rsidP="003F01E9">
      <w:pPr>
        <w:jc w:val="both"/>
        <w:rPr>
          <w:b/>
          <w:bCs/>
        </w:rPr>
      </w:pPr>
    </w:p>
    <w:p w14:paraId="2A6D3565" w14:textId="77777777" w:rsidR="003F01E9" w:rsidRDefault="003F01E9" w:rsidP="003F01E9">
      <w:pPr>
        <w:jc w:val="both"/>
      </w:pPr>
      <w:r>
        <w:rPr>
          <w:b/>
          <w:bCs/>
        </w:rPr>
        <w:t>Ethan</w:t>
      </w:r>
      <w:r w:rsidRPr="00900702">
        <w:rPr>
          <w:b/>
          <w:bCs/>
        </w:rPr>
        <w:t xml:space="preserve"> </w:t>
      </w:r>
      <w:proofErr w:type="spellStart"/>
      <w:r>
        <w:rPr>
          <w:b/>
          <w:bCs/>
        </w:rPr>
        <w:t>Miletich</w:t>
      </w:r>
      <w:proofErr w:type="spellEnd"/>
      <w:r>
        <w:t xml:space="preserve"> (Student Panelist)</w:t>
      </w:r>
    </w:p>
    <w:p w14:paraId="3AA6300B" w14:textId="6DCF519E" w:rsidR="003F01E9" w:rsidRDefault="003F01E9" w:rsidP="003F01E9">
      <w:pPr>
        <w:jc w:val="both"/>
      </w:pPr>
      <w:r w:rsidRPr="000E613A">
        <w:t xml:space="preserve">Ethan </w:t>
      </w:r>
      <w:proofErr w:type="spellStart"/>
      <w:r w:rsidRPr="000E613A">
        <w:t>Miletich</w:t>
      </w:r>
      <w:proofErr w:type="spellEnd"/>
      <w:r w:rsidRPr="000E613A">
        <w:t xml:space="preserve"> </w:t>
      </w:r>
      <w:r w:rsidRPr="00900702">
        <w:t xml:space="preserve">is a </w:t>
      </w:r>
      <w:r>
        <w:t>third</w:t>
      </w:r>
      <w:r w:rsidRPr="00900702">
        <w:t xml:space="preserve">-year law student at The Catholic University of America, Columbus School of Law </w:t>
      </w:r>
      <w:r>
        <w:t xml:space="preserve">participating in the </w:t>
      </w:r>
      <w:r w:rsidRPr="00A65A8B">
        <w:t>Securities Law Program</w:t>
      </w:r>
      <w:r w:rsidRPr="00900702">
        <w:t xml:space="preserve">. </w:t>
      </w:r>
      <w:r>
        <w:t xml:space="preserve">He is a recipient of the Faculty Merit Scholarship Award. </w:t>
      </w:r>
      <w:r w:rsidRPr="00900702">
        <w:t xml:space="preserve">His experience includes </w:t>
      </w:r>
      <w:r>
        <w:t xml:space="preserve">an internship at the Securities Exchange Commission at the Division of Corporation Finance and a judicial internship at the United States District Court for the Southern District of West Virginia under the honorable Frank Volk. </w:t>
      </w:r>
      <w:r w:rsidRPr="00900702">
        <w:t xml:space="preserve">Outside the classroom, </w:t>
      </w:r>
      <w:r>
        <w:t xml:space="preserve">Ethan has been a senior services coordinator at the Hagerstown Church of </w:t>
      </w:r>
      <w:proofErr w:type="spellStart"/>
      <w:r>
        <w:t>Zazarene</w:t>
      </w:r>
      <w:proofErr w:type="spellEnd"/>
      <w:r>
        <w:t xml:space="preserve"> since 2016.</w:t>
      </w:r>
      <w:r w:rsidR="00DE58F5">
        <w:t xml:space="preserve"> He </w:t>
      </w:r>
      <w:r w:rsidR="008B15F0">
        <w:t>is a candidate for earning his J</w:t>
      </w:r>
      <w:r w:rsidR="00C23F4A">
        <w:t>.</w:t>
      </w:r>
      <w:r w:rsidR="008B15F0">
        <w:t>D</w:t>
      </w:r>
      <w:r w:rsidR="00C23F4A">
        <w:t>.</w:t>
      </w:r>
      <w:r w:rsidR="008B15F0">
        <w:t xml:space="preserve"> </w:t>
      </w:r>
      <w:r w:rsidR="00C23F4A">
        <w:t>in May</w:t>
      </w:r>
      <w:r w:rsidR="008B15F0">
        <w:t xml:space="preserve"> 2026.</w:t>
      </w:r>
    </w:p>
    <w:p w14:paraId="545B025D" w14:textId="77777777" w:rsidR="003F01E9" w:rsidRPr="00E4484A" w:rsidRDefault="003F01E9" w:rsidP="001411E6">
      <w:pPr>
        <w:jc w:val="both"/>
        <w:rPr>
          <w:b/>
          <w:bCs/>
        </w:rPr>
      </w:pPr>
    </w:p>
    <w:sectPr w:rsidR="003F01E9" w:rsidRPr="00E448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216F7" w14:textId="77777777" w:rsidR="002D1E73" w:rsidRDefault="002D1E73" w:rsidP="00D24DC5">
      <w:pPr>
        <w:spacing w:after="0" w:line="240" w:lineRule="auto"/>
      </w:pPr>
      <w:r>
        <w:separator/>
      </w:r>
    </w:p>
  </w:endnote>
  <w:endnote w:type="continuationSeparator" w:id="0">
    <w:p w14:paraId="4B11333A" w14:textId="77777777" w:rsidR="002D1E73" w:rsidRDefault="002D1E73" w:rsidP="00D2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FB826" w14:textId="77777777" w:rsidR="002D1E73" w:rsidRDefault="002D1E73" w:rsidP="00D24DC5">
      <w:pPr>
        <w:spacing w:after="0" w:line="240" w:lineRule="auto"/>
      </w:pPr>
      <w:r>
        <w:separator/>
      </w:r>
    </w:p>
  </w:footnote>
  <w:footnote w:type="continuationSeparator" w:id="0">
    <w:p w14:paraId="3CDE0330" w14:textId="77777777" w:rsidR="002D1E73" w:rsidRDefault="002D1E73" w:rsidP="00D24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A1056"/>
    <w:multiLevelType w:val="multilevel"/>
    <w:tmpl w:val="EDDA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E368BC"/>
    <w:multiLevelType w:val="hybridMultilevel"/>
    <w:tmpl w:val="7944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01385"/>
    <w:multiLevelType w:val="multilevel"/>
    <w:tmpl w:val="EDB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DF29E4"/>
    <w:multiLevelType w:val="hybridMultilevel"/>
    <w:tmpl w:val="5FE09692"/>
    <w:lvl w:ilvl="0" w:tplc="53321086">
      <w:numFmt w:val="bullet"/>
      <w:lvlText w:val="•"/>
      <w:lvlJc w:val="left"/>
      <w:pPr>
        <w:ind w:left="519" w:hanging="195"/>
      </w:pPr>
      <w:rPr>
        <w:rFonts w:ascii="Trebuchet MS" w:eastAsia="Trebuchet MS" w:hAnsi="Trebuchet MS" w:cs="Trebuchet MS" w:hint="default"/>
        <w:b w:val="0"/>
        <w:bCs w:val="0"/>
        <w:i w:val="0"/>
        <w:iCs w:val="0"/>
        <w:spacing w:val="0"/>
        <w:w w:val="96"/>
        <w:sz w:val="20"/>
        <w:szCs w:val="20"/>
        <w:lang w:val="en-US" w:eastAsia="en-US" w:bidi="ar-SA"/>
      </w:rPr>
    </w:lvl>
    <w:lvl w:ilvl="1" w:tplc="4722369C">
      <w:numFmt w:val="bullet"/>
      <w:lvlText w:val="—"/>
      <w:lvlJc w:val="left"/>
      <w:pPr>
        <w:ind w:left="783" w:hanging="265"/>
      </w:pPr>
      <w:rPr>
        <w:rFonts w:ascii="Trebuchet MS" w:eastAsia="Trebuchet MS" w:hAnsi="Trebuchet MS" w:cs="Trebuchet MS" w:hint="default"/>
        <w:b w:val="0"/>
        <w:bCs w:val="0"/>
        <w:i w:val="0"/>
        <w:iCs w:val="0"/>
        <w:spacing w:val="0"/>
        <w:w w:val="137"/>
        <w:sz w:val="20"/>
        <w:szCs w:val="20"/>
        <w:lang w:val="en-US" w:eastAsia="en-US" w:bidi="ar-SA"/>
      </w:rPr>
    </w:lvl>
    <w:lvl w:ilvl="2" w:tplc="59B61D5A">
      <w:numFmt w:val="bullet"/>
      <w:lvlText w:val="•"/>
      <w:lvlJc w:val="left"/>
      <w:pPr>
        <w:ind w:left="1762" w:hanging="265"/>
      </w:pPr>
      <w:rPr>
        <w:rFonts w:hint="default"/>
        <w:lang w:val="en-US" w:eastAsia="en-US" w:bidi="ar-SA"/>
      </w:rPr>
    </w:lvl>
    <w:lvl w:ilvl="3" w:tplc="46DE2EE6">
      <w:numFmt w:val="bullet"/>
      <w:lvlText w:val="•"/>
      <w:lvlJc w:val="left"/>
      <w:pPr>
        <w:ind w:left="2745" w:hanging="265"/>
      </w:pPr>
      <w:rPr>
        <w:rFonts w:hint="default"/>
        <w:lang w:val="en-US" w:eastAsia="en-US" w:bidi="ar-SA"/>
      </w:rPr>
    </w:lvl>
    <w:lvl w:ilvl="4" w:tplc="A0FC4B3A">
      <w:numFmt w:val="bullet"/>
      <w:lvlText w:val="•"/>
      <w:lvlJc w:val="left"/>
      <w:pPr>
        <w:ind w:left="3728" w:hanging="265"/>
      </w:pPr>
      <w:rPr>
        <w:rFonts w:hint="default"/>
        <w:lang w:val="en-US" w:eastAsia="en-US" w:bidi="ar-SA"/>
      </w:rPr>
    </w:lvl>
    <w:lvl w:ilvl="5" w:tplc="5AAAB95C">
      <w:numFmt w:val="bullet"/>
      <w:lvlText w:val="•"/>
      <w:lvlJc w:val="left"/>
      <w:pPr>
        <w:ind w:left="4711" w:hanging="265"/>
      </w:pPr>
      <w:rPr>
        <w:rFonts w:hint="default"/>
        <w:lang w:val="en-US" w:eastAsia="en-US" w:bidi="ar-SA"/>
      </w:rPr>
    </w:lvl>
    <w:lvl w:ilvl="6" w:tplc="B58C4D16">
      <w:numFmt w:val="bullet"/>
      <w:lvlText w:val="•"/>
      <w:lvlJc w:val="left"/>
      <w:pPr>
        <w:ind w:left="5694" w:hanging="265"/>
      </w:pPr>
      <w:rPr>
        <w:rFonts w:hint="default"/>
        <w:lang w:val="en-US" w:eastAsia="en-US" w:bidi="ar-SA"/>
      </w:rPr>
    </w:lvl>
    <w:lvl w:ilvl="7" w:tplc="A1780440">
      <w:numFmt w:val="bullet"/>
      <w:lvlText w:val="•"/>
      <w:lvlJc w:val="left"/>
      <w:pPr>
        <w:ind w:left="6677" w:hanging="265"/>
      </w:pPr>
      <w:rPr>
        <w:rFonts w:hint="default"/>
        <w:lang w:val="en-US" w:eastAsia="en-US" w:bidi="ar-SA"/>
      </w:rPr>
    </w:lvl>
    <w:lvl w:ilvl="8" w:tplc="48F696E8">
      <w:numFmt w:val="bullet"/>
      <w:lvlText w:val="•"/>
      <w:lvlJc w:val="left"/>
      <w:pPr>
        <w:ind w:left="7659" w:hanging="265"/>
      </w:pPr>
      <w:rPr>
        <w:rFonts w:hint="default"/>
        <w:lang w:val="en-US" w:eastAsia="en-US" w:bidi="ar-SA"/>
      </w:rPr>
    </w:lvl>
  </w:abstractNum>
  <w:num w:numId="1" w16cid:durableId="1067997245">
    <w:abstractNumId w:val="3"/>
  </w:num>
  <w:num w:numId="2" w16cid:durableId="630401819">
    <w:abstractNumId w:val="1"/>
  </w:num>
  <w:num w:numId="3" w16cid:durableId="1657874534">
    <w:abstractNumId w:val="2"/>
  </w:num>
  <w:num w:numId="4" w16cid:durableId="177439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02"/>
    <w:rsid w:val="0000362A"/>
    <w:rsid w:val="00026CB8"/>
    <w:rsid w:val="00030AEA"/>
    <w:rsid w:val="00044C12"/>
    <w:rsid w:val="00065329"/>
    <w:rsid w:val="00077033"/>
    <w:rsid w:val="00083108"/>
    <w:rsid w:val="000A62B6"/>
    <w:rsid w:val="000B7A13"/>
    <w:rsid w:val="000C5723"/>
    <w:rsid w:val="000D7684"/>
    <w:rsid w:val="000E613A"/>
    <w:rsid w:val="000E6D62"/>
    <w:rsid w:val="000E6D95"/>
    <w:rsid w:val="001344A0"/>
    <w:rsid w:val="00136746"/>
    <w:rsid w:val="001411E6"/>
    <w:rsid w:val="0014131B"/>
    <w:rsid w:val="00164AD2"/>
    <w:rsid w:val="0018307E"/>
    <w:rsid w:val="001975CF"/>
    <w:rsid w:val="001C0D45"/>
    <w:rsid w:val="002372FE"/>
    <w:rsid w:val="00267C4A"/>
    <w:rsid w:val="002817F8"/>
    <w:rsid w:val="00282FCE"/>
    <w:rsid w:val="00294655"/>
    <w:rsid w:val="002A2FF8"/>
    <w:rsid w:val="002B77F3"/>
    <w:rsid w:val="002C4D60"/>
    <w:rsid w:val="002D0ED6"/>
    <w:rsid w:val="002D1E73"/>
    <w:rsid w:val="002F1DCF"/>
    <w:rsid w:val="00302553"/>
    <w:rsid w:val="003101BE"/>
    <w:rsid w:val="00337D57"/>
    <w:rsid w:val="0036661D"/>
    <w:rsid w:val="00385550"/>
    <w:rsid w:val="003B3109"/>
    <w:rsid w:val="003B555C"/>
    <w:rsid w:val="003C2C4B"/>
    <w:rsid w:val="003C354E"/>
    <w:rsid w:val="003D5B58"/>
    <w:rsid w:val="003F01E9"/>
    <w:rsid w:val="003F4A43"/>
    <w:rsid w:val="004015C8"/>
    <w:rsid w:val="0042253E"/>
    <w:rsid w:val="00442105"/>
    <w:rsid w:val="00466488"/>
    <w:rsid w:val="004730D7"/>
    <w:rsid w:val="00480A8C"/>
    <w:rsid w:val="004A49EA"/>
    <w:rsid w:val="004A4B44"/>
    <w:rsid w:val="004C2663"/>
    <w:rsid w:val="004D769F"/>
    <w:rsid w:val="004E36FB"/>
    <w:rsid w:val="004E3EA5"/>
    <w:rsid w:val="004E4D14"/>
    <w:rsid w:val="004F4171"/>
    <w:rsid w:val="004F41A3"/>
    <w:rsid w:val="00512BD1"/>
    <w:rsid w:val="0051633B"/>
    <w:rsid w:val="005342CF"/>
    <w:rsid w:val="00543B28"/>
    <w:rsid w:val="00551866"/>
    <w:rsid w:val="00556D14"/>
    <w:rsid w:val="005C09CC"/>
    <w:rsid w:val="005D0D99"/>
    <w:rsid w:val="00603C8B"/>
    <w:rsid w:val="00616270"/>
    <w:rsid w:val="0062088C"/>
    <w:rsid w:val="0063010B"/>
    <w:rsid w:val="006500CE"/>
    <w:rsid w:val="006522CA"/>
    <w:rsid w:val="00684000"/>
    <w:rsid w:val="006B47B0"/>
    <w:rsid w:val="006F4677"/>
    <w:rsid w:val="00741680"/>
    <w:rsid w:val="007421F6"/>
    <w:rsid w:val="00745E14"/>
    <w:rsid w:val="007552A2"/>
    <w:rsid w:val="00774E2A"/>
    <w:rsid w:val="00816780"/>
    <w:rsid w:val="0083036B"/>
    <w:rsid w:val="00855C3D"/>
    <w:rsid w:val="0086385D"/>
    <w:rsid w:val="00865FB8"/>
    <w:rsid w:val="00891CF4"/>
    <w:rsid w:val="00895B5A"/>
    <w:rsid w:val="008B15F0"/>
    <w:rsid w:val="008C1389"/>
    <w:rsid w:val="008C425E"/>
    <w:rsid w:val="008E36D5"/>
    <w:rsid w:val="008E3846"/>
    <w:rsid w:val="008E62FD"/>
    <w:rsid w:val="008F2085"/>
    <w:rsid w:val="008F5BF2"/>
    <w:rsid w:val="00900702"/>
    <w:rsid w:val="009036AD"/>
    <w:rsid w:val="00905F3C"/>
    <w:rsid w:val="00912431"/>
    <w:rsid w:val="00912D67"/>
    <w:rsid w:val="009262EE"/>
    <w:rsid w:val="009355A4"/>
    <w:rsid w:val="0094785C"/>
    <w:rsid w:val="00957630"/>
    <w:rsid w:val="009742EE"/>
    <w:rsid w:val="0098484F"/>
    <w:rsid w:val="0099220F"/>
    <w:rsid w:val="009C60D6"/>
    <w:rsid w:val="009E3A5A"/>
    <w:rsid w:val="009F2E4A"/>
    <w:rsid w:val="00A034AE"/>
    <w:rsid w:val="00A06DCA"/>
    <w:rsid w:val="00A10587"/>
    <w:rsid w:val="00A13003"/>
    <w:rsid w:val="00A23520"/>
    <w:rsid w:val="00A273F9"/>
    <w:rsid w:val="00A52E53"/>
    <w:rsid w:val="00A65A8B"/>
    <w:rsid w:val="00A85ACE"/>
    <w:rsid w:val="00A93C0E"/>
    <w:rsid w:val="00AB03F7"/>
    <w:rsid w:val="00AB1FA3"/>
    <w:rsid w:val="00AD4B58"/>
    <w:rsid w:val="00B135A8"/>
    <w:rsid w:val="00B16675"/>
    <w:rsid w:val="00B46CF7"/>
    <w:rsid w:val="00B66D69"/>
    <w:rsid w:val="00B9454D"/>
    <w:rsid w:val="00BA7F33"/>
    <w:rsid w:val="00BF688E"/>
    <w:rsid w:val="00C16523"/>
    <w:rsid w:val="00C23F4A"/>
    <w:rsid w:val="00C52846"/>
    <w:rsid w:val="00C5389E"/>
    <w:rsid w:val="00C65238"/>
    <w:rsid w:val="00C925B1"/>
    <w:rsid w:val="00CB41E6"/>
    <w:rsid w:val="00CD2BAB"/>
    <w:rsid w:val="00CE0A03"/>
    <w:rsid w:val="00CE17D0"/>
    <w:rsid w:val="00D2060B"/>
    <w:rsid w:val="00D24DC5"/>
    <w:rsid w:val="00D763B8"/>
    <w:rsid w:val="00D91005"/>
    <w:rsid w:val="00DE16FB"/>
    <w:rsid w:val="00DE58F5"/>
    <w:rsid w:val="00E06DF4"/>
    <w:rsid w:val="00E26855"/>
    <w:rsid w:val="00E278ED"/>
    <w:rsid w:val="00E31991"/>
    <w:rsid w:val="00E4484A"/>
    <w:rsid w:val="00E47807"/>
    <w:rsid w:val="00E52FB5"/>
    <w:rsid w:val="00E67401"/>
    <w:rsid w:val="00E709E5"/>
    <w:rsid w:val="00E81D14"/>
    <w:rsid w:val="00E87ED4"/>
    <w:rsid w:val="00EB17F1"/>
    <w:rsid w:val="00ED0159"/>
    <w:rsid w:val="00ED441F"/>
    <w:rsid w:val="00EE3322"/>
    <w:rsid w:val="00F13228"/>
    <w:rsid w:val="00F452FD"/>
    <w:rsid w:val="00F50F47"/>
    <w:rsid w:val="00F6134B"/>
    <w:rsid w:val="00F65740"/>
    <w:rsid w:val="00F74A60"/>
    <w:rsid w:val="00F871AA"/>
    <w:rsid w:val="00F92E6B"/>
    <w:rsid w:val="00FA3AAF"/>
    <w:rsid w:val="00FB026E"/>
    <w:rsid w:val="00FB4E38"/>
    <w:rsid w:val="00FD7F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4A13"/>
  <w15:chartTrackingRefBased/>
  <w15:docId w15:val="{1C08884F-A293-4720-9E26-8DD44C7A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02"/>
    <w:rPr>
      <w:rFonts w:eastAsiaTheme="majorEastAsia" w:cstheme="majorBidi"/>
      <w:color w:val="272727" w:themeColor="text1" w:themeTint="D8"/>
    </w:rPr>
  </w:style>
  <w:style w:type="paragraph" w:styleId="Title">
    <w:name w:val="Title"/>
    <w:basedOn w:val="Normal"/>
    <w:next w:val="Normal"/>
    <w:link w:val="TitleChar"/>
    <w:uiPriority w:val="10"/>
    <w:qFormat/>
    <w:rsid w:val="00900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02"/>
    <w:pPr>
      <w:spacing w:before="160"/>
      <w:jc w:val="center"/>
    </w:pPr>
    <w:rPr>
      <w:i/>
      <w:iCs/>
      <w:color w:val="404040" w:themeColor="text1" w:themeTint="BF"/>
    </w:rPr>
  </w:style>
  <w:style w:type="character" w:customStyle="1" w:styleId="QuoteChar">
    <w:name w:val="Quote Char"/>
    <w:basedOn w:val="DefaultParagraphFont"/>
    <w:link w:val="Quote"/>
    <w:uiPriority w:val="29"/>
    <w:rsid w:val="00900702"/>
    <w:rPr>
      <w:i/>
      <w:iCs/>
      <w:color w:val="404040" w:themeColor="text1" w:themeTint="BF"/>
    </w:rPr>
  </w:style>
  <w:style w:type="paragraph" w:styleId="ListParagraph">
    <w:name w:val="List Paragraph"/>
    <w:basedOn w:val="Normal"/>
    <w:uiPriority w:val="34"/>
    <w:qFormat/>
    <w:rsid w:val="00900702"/>
    <w:pPr>
      <w:ind w:left="720"/>
      <w:contextualSpacing/>
    </w:pPr>
  </w:style>
  <w:style w:type="character" w:styleId="IntenseEmphasis">
    <w:name w:val="Intense Emphasis"/>
    <w:basedOn w:val="DefaultParagraphFont"/>
    <w:uiPriority w:val="21"/>
    <w:qFormat/>
    <w:rsid w:val="00900702"/>
    <w:rPr>
      <w:i/>
      <w:iCs/>
      <w:color w:val="0F4761" w:themeColor="accent1" w:themeShade="BF"/>
    </w:rPr>
  </w:style>
  <w:style w:type="paragraph" w:styleId="IntenseQuote">
    <w:name w:val="Intense Quote"/>
    <w:basedOn w:val="Normal"/>
    <w:next w:val="Normal"/>
    <w:link w:val="IntenseQuoteChar"/>
    <w:uiPriority w:val="30"/>
    <w:qFormat/>
    <w:rsid w:val="00900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702"/>
    <w:rPr>
      <w:i/>
      <w:iCs/>
      <w:color w:val="0F4761" w:themeColor="accent1" w:themeShade="BF"/>
    </w:rPr>
  </w:style>
  <w:style w:type="character" w:styleId="IntenseReference">
    <w:name w:val="Intense Reference"/>
    <w:basedOn w:val="DefaultParagraphFont"/>
    <w:uiPriority w:val="32"/>
    <w:qFormat/>
    <w:rsid w:val="00900702"/>
    <w:rPr>
      <w:b/>
      <w:bCs/>
      <w:smallCaps/>
      <w:color w:val="0F4761" w:themeColor="accent1" w:themeShade="BF"/>
      <w:spacing w:val="5"/>
    </w:rPr>
  </w:style>
  <w:style w:type="character" w:styleId="Hyperlink">
    <w:name w:val="Hyperlink"/>
    <w:basedOn w:val="DefaultParagraphFont"/>
    <w:uiPriority w:val="99"/>
    <w:unhideWhenUsed/>
    <w:rsid w:val="00900702"/>
    <w:rPr>
      <w:color w:val="467886" w:themeColor="hyperlink"/>
      <w:u w:val="single"/>
    </w:rPr>
  </w:style>
  <w:style w:type="character" w:styleId="UnresolvedMention">
    <w:name w:val="Unresolved Mention"/>
    <w:basedOn w:val="DefaultParagraphFont"/>
    <w:uiPriority w:val="99"/>
    <w:semiHidden/>
    <w:unhideWhenUsed/>
    <w:rsid w:val="00900702"/>
    <w:rPr>
      <w:color w:val="605E5C"/>
      <w:shd w:val="clear" w:color="auto" w:fill="E1DFDD"/>
    </w:rPr>
  </w:style>
  <w:style w:type="paragraph" w:styleId="Header">
    <w:name w:val="header"/>
    <w:basedOn w:val="Normal"/>
    <w:link w:val="HeaderChar"/>
    <w:uiPriority w:val="99"/>
    <w:unhideWhenUsed/>
    <w:rsid w:val="00D24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DC5"/>
  </w:style>
  <w:style w:type="paragraph" w:styleId="Footer">
    <w:name w:val="footer"/>
    <w:basedOn w:val="Normal"/>
    <w:link w:val="FooterChar"/>
    <w:uiPriority w:val="99"/>
    <w:unhideWhenUsed/>
    <w:rsid w:val="00D24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DC5"/>
  </w:style>
  <w:style w:type="paragraph" w:styleId="NoSpacing">
    <w:name w:val="No Spacing"/>
    <w:uiPriority w:val="1"/>
    <w:qFormat/>
    <w:rsid w:val="002D0ED6"/>
    <w:pPr>
      <w:spacing w:after="0" w:line="240" w:lineRule="auto"/>
    </w:pPr>
    <w:rPr>
      <w:rFonts w:ascii="Arial" w:eastAsiaTheme="minorEastAsia"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09187">
      <w:bodyDiv w:val="1"/>
      <w:marLeft w:val="0"/>
      <w:marRight w:val="0"/>
      <w:marTop w:val="0"/>
      <w:marBottom w:val="0"/>
      <w:divBdr>
        <w:top w:val="none" w:sz="0" w:space="0" w:color="auto"/>
        <w:left w:val="none" w:sz="0" w:space="0" w:color="auto"/>
        <w:bottom w:val="none" w:sz="0" w:space="0" w:color="auto"/>
        <w:right w:val="none" w:sz="0" w:space="0" w:color="auto"/>
      </w:divBdr>
    </w:div>
    <w:div w:id="512186070">
      <w:bodyDiv w:val="1"/>
      <w:marLeft w:val="0"/>
      <w:marRight w:val="0"/>
      <w:marTop w:val="0"/>
      <w:marBottom w:val="0"/>
      <w:divBdr>
        <w:top w:val="none" w:sz="0" w:space="0" w:color="auto"/>
        <w:left w:val="none" w:sz="0" w:space="0" w:color="auto"/>
        <w:bottom w:val="none" w:sz="0" w:space="0" w:color="auto"/>
        <w:right w:val="none" w:sz="0" w:space="0" w:color="auto"/>
      </w:divBdr>
    </w:div>
    <w:div w:id="530458319">
      <w:bodyDiv w:val="1"/>
      <w:marLeft w:val="0"/>
      <w:marRight w:val="0"/>
      <w:marTop w:val="0"/>
      <w:marBottom w:val="0"/>
      <w:divBdr>
        <w:top w:val="none" w:sz="0" w:space="0" w:color="auto"/>
        <w:left w:val="none" w:sz="0" w:space="0" w:color="auto"/>
        <w:bottom w:val="none" w:sz="0" w:space="0" w:color="auto"/>
        <w:right w:val="none" w:sz="0" w:space="0" w:color="auto"/>
      </w:divBdr>
    </w:div>
    <w:div w:id="662709683">
      <w:bodyDiv w:val="1"/>
      <w:marLeft w:val="0"/>
      <w:marRight w:val="0"/>
      <w:marTop w:val="0"/>
      <w:marBottom w:val="0"/>
      <w:divBdr>
        <w:top w:val="none" w:sz="0" w:space="0" w:color="auto"/>
        <w:left w:val="none" w:sz="0" w:space="0" w:color="auto"/>
        <w:bottom w:val="none" w:sz="0" w:space="0" w:color="auto"/>
        <w:right w:val="none" w:sz="0" w:space="0" w:color="auto"/>
      </w:divBdr>
    </w:div>
    <w:div w:id="693464147">
      <w:bodyDiv w:val="1"/>
      <w:marLeft w:val="0"/>
      <w:marRight w:val="0"/>
      <w:marTop w:val="0"/>
      <w:marBottom w:val="0"/>
      <w:divBdr>
        <w:top w:val="none" w:sz="0" w:space="0" w:color="auto"/>
        <w:left w:val="none" w:sz="0" w:space="0" w:color="auto"/>
        <w:bottom w:val="none" w:sz="0" w:space="0" w:color="auto"/>
        <w:right w:val="none" w:sz="0" w:space="0" w:color="auto"/>
      </w:divBdr>
    </w:div>
    <w:div w:id="863783313">
      <w:bodyDiv w:val="1"/>
      <w:marLeft w:val="0"/>
      <w:marRight w:val="0"/>
      <w:marTop w:val="0"/>
      <w:marBottom w:val="0"/>
      <w:divBdr>
        <w:top w:val="none" w:sz="0" w:space="0" w:color="auto"/>
        <w:left w:val="none" w:sz="0" w:space="0" w:color="auto"/>
        <w:bottom w:val="none" w:sz="0" w:space="0" w:color="auto"/>
        <w:right w:val="none" w:sz="0" w:space="0" w:color="auto"/>
      </w:divBdr>
    </w:div>
    <w:div w:id="934483589">
      <w:bodyDiv w:val="1"/>
      <w:marLeft w:val="0"/>
      <w:marRight w:val="0"/>
      <w:marTop w:val="0"/>
      <w:marBottom w:val="0"/>
      <w:divBdr>
        <w:top w:val="none" w:sz="0" w:space="0" w:color="auto"/>
        <w:left w:val="none" w:sz="0" w:space="0" w:color="auto"/>
        <w:bottom w:val="none" w:sz="0" w:space="0" w:color="auto"/>
        <w:right w:val="none" w:sz="0" w:space="0" w:color="auto"/>
      </w:divBdr>
    </w:div>
    <w:div w:id="1192260527">
      <w:bodyDiv w:val="1"/>
      <w:marLeft w:val="0"/>
      <w:marRight w:val="0"/>
      <w:marTop w:val="0"/>
      <w:marBottom w:val="0"/>
      <w:divBdr>
        <w:top w:val="none" w:sz="0" w:space="0" w:color="auto"/>
        <w:left w:val="none" w:sz="0" w:space="0" w:color="auto"/>
        <w:bottom w:val="none" w:sz="0" w:space="0" w:color="auto"/>
        <w:right w:val="none" w:sz="0" w:space="0" w:color="auto"/>
      </w:divBdr>
    </w:div>
    <w:div w:id="1368605202">
      <w:bodyDiv w:val="1"/>
      <w:marLeft w:val="0"/>
      <w:marRight w:val="0"/>
      <w:marTop w:val="0"/>
      <w:marBottom w:val="0"/>
      <w:divBdr>
        <w:top w:val="none" w:sz="0" w:space="0" w:color="auto"/>
        <w:left w:val="none" w:sz="0" w:space="0" w:color="auto"/>
        <w:bottom w:val="none" w:sz="0" w:space="0" w:color="auto"/>
        <w:right w:val="none" w:sz="0" w:space="0" w:color="auto"/>
      </w:divBdr>
    </w:div>
    <w:div w:id="18410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Ferraro, Joe</cp:lastModifiedBy>
  <cp:revision>2</cp:revision>
  <dcterms:created xsi:type="dcterms:W3CDTF">2025-10-01T13:57:00Z</dcterms:created>
  <dcterms:modified xsi:type="dcterms:W3CDTF">2025-10-01T13:57:00Z</dcterms:modified>
</cp:coreProperties>
</file>