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E4D9D" w14:textId="71B12056" w:rsidR="000F51E1" w:rsidRDefault="000F51E1" w:rsidP="000F51E1">
      <w:r w:rsidRPr="000F51E1">
        <w:t xml:space="preserve">Mark </w:t>
      </w:r>
      <w:proofErr w:type="spellStart"/>
      <w:r w:rsidRPr="000F51E1">
        <w:t>Amorosi</w:t>
      </w:r>
      <w:proofErr w:type="spellEnd"/>
      <w:r w:rsidRPr="000F51E1">
        <w:t xml:space="preserve"> is a partner in the firm's Asset Management and Investment Funds practice and also serves as one of its practice area </w:t>
      </w:r>
      <w:proofErr w:type="gramStart"/>
      <w:r w:rsidRPr="000F51E1">
        <w:t>leader</w:t>
      </w:r>
      <w:proofErr w:type="gramEnd"/>
      <w:r w:rsidRPr="000F51E1">
        <w:t xml:space="preserve">. He has been practicing for over 30 years in the investment </w:t>
      </w:r>
      <w:r w:rsidRPr="000F51E1">
        <w:t xml:space="preserve">management </w:t>
      </w:r>
      <w:proofErr w:type="gramStart"/>
      <w:r w:rsidRPr="000F51E1">
        <w:t>industry</w:t>
      </w:r>
      <w:r w:rsidRPr="000F51E1">
        <w:t>  and</w:t>
      </w:r>
      <w:proofErr w:type="gramEnd"/>
      <w:r w:rsidRPr="000F51E1">
        <w:t xml:space="preserve"> focuses his practice on representing investment advisers, registered investment companies (including mutual funds, exchange-traded funds (ETFs), and close-end funds), private and alternative investment funds, insurance companies, fund boards, broker-dealers, banks, and other financial institutions on securities and corporate law matters. He has extensive experience with fund formations and securities offerings by retail and alternative fund complexes, global fund regulation, complex regulatory and compliance matters, portfolio management and transactional matters, governance matters, variable insurance product regulation, and matters relating to mergers and acquisitions of investment adviser and fund businesses. Prior to joining the firm in 2000, he served on the staff of the US Securities and Exchange Commission for five years working in the SEC’s Division of Investment Management.</w:t>
      </w:r>
    </w:p>
    <w:p w14:paraId="7CE40FB1" w14:textId="77777777" w:rsidR="000F51E1" w:rsidRPr="000F51E1" w:rsidRDefault="000F51E1" w:rsidP="000F51E1"/>
    <w:p w14:paraId="49C44006" w14:textId="77777777" w:rsidR="000F51E1" w:rsidRDefault="000F51E1" w:rsidP="000F51E1">
      <w:r w:rsidRPr="000F51E1">
        <w:t>Mark works with investment advisers and fund complexes of all sizes and regularly deals with regulatory authorities on a wide range of matters, including interpretive requests, registration statements, exemptive applications, and inspections and examinations. His clients include some of the largest asset managers in the world as well as start-up and emerging investment advisers, fund complexes, and other intermediaries. He regularly works with clients in connection with forming new investment funds and developing new and novel investment products, in addition to providing them with ongoing representation on a variety of matters, including structuring new advisory entities, new retail and private fund offerings, global product distribution matters, portfolio management compliance issues, mergers and acquisitions of advisory and fund businesses, and implementation of compliance programs.</w:t>
      </w:r>
    </w:p>
    <w:p w14:paraId="50FB14BE" w14:textId="77777777" w:rsidR="000F51E1" w:rsidRPr="000F51E1" w:rsidRDefault="000F51E1" w:rsidP="000F51E1"/>
    <w:p w14:paraId="08D904AB" w14:textId="77777777" w:rsidR="000F51E1" w:rsidRPr="000F51E1" w:rsidRDefault="000F51E1" w:rsidP="000F51E1">
      <w:r w:rsidRPr="000F51E1">
        <w:t>Based on feedback from clients, peers, and other industry professionals, Mark has been recognized by multiple legal ranking organizations, including Chambers and The Legal 500, with clients referring to him as an “extremely good” lawyer and a “standout” in the legal profession for his experience with investment advisers and investment companies.</w:t>
      </w:r>
    </w:p>
    <w:p w14:paraId="0894C979" w14:textId="77777777" w:rsidR="000F51E1" w:rsidRPr="000F51E1" w:rsidRDefault="000F51E1" w:rsidP="000F51E1"/>
    <w:p w14:paraId="68BE6A6B" w14:textId="77777777" w:rsidR="000F51E1" w:rsidRDefault="000F51E1" w:rsidP="000F51E1"/>
    <w:p w14:paraId="2BEEA6FD" w14:textId="77777777" w:rsidR="000F51E1" w:rsidRDefault="000F51E1" w:rsidP="000F51E1"/>
    <w:p w14:paraId="0D94CEC5" w14:textId="77777777" w:rsidR="000F51E1" w:rsidRDefault="000F51E1" w:rsidP="000F51E1"/>
    <w:p w14:paraId="792543DE" w14:textId="77777777" w:rsidR="000F51E1" w:rsidRDefault="000F51E1" w:rsidP="000F51E1"/>
    <w:p w14:paraId="756E1BB8" w14:textId="77777777" w:rsidR="000F51E1" w:rsidRDefault="000F51E1" w:rsidP="000F51E1"/>
    <w:p w14:paraId="1CD5C803" w14:textId="77777777" w:rsidR="000F51E1" w:rsidRDefault="000F51E1" w:rsidP="000F51E1"/>
    <w:p w14:paraId="17E64A9C" w14:textId="77777777" w:rsidR="000F51E1" w:rsidRDefault="000F51E1" w:rsidP="000F51E1"/>
    <w:p w14:paraId="548E93D3" w14:textId="77777777" w:rsidR="000F51E1" w:rsidRDefault="000F51E1" w:rsidP="000F51E1"/>
    <w:p w14:paraId="67F731CA" w14:textId="77777777" w:rsidR="000F51E1" w:rsidRDefault="000F51E1" w:rsidP="000F51E1"/>
    <w:p w14:paraId="1054101B" w14:textId="77777777" w:rsidR="000F51E1" w:rsidRDefault="000F51E1" w:rsidP="000F51E1"/>
    <w:p w14:paraId="3EFE6DB1" w14:textId="77777777" w:rsidR="000F51E1" w:rsidRDefault="000F51E1" w:rsidP="000F51E1"/>
    <w:p w14:paraId="6E783BC9" w14:textId="77777777" w:rsidR="000F51E1" w:rsidRDefault="000F51E1" w:rsidP="000F51E1"/>
    <w:p w14:paraId="6155603C" w14:textId="77777777" w:rsidR="000F51E1" w:rsidRDefault="000F51E1" w:rsidP="000F51E1"/>
    <w:p w14:paraId="78C5D479" w14:textId="53857AC2" w:rsidR="000F51E1" w:rsidRDefault="000F51E1" w:rsidP="000F51E1">
      <w:r w:rsidRPr="000F51E1">
        <w:lastRenderedPageBreak/>
        <w:t xml:space="preserve">Andrea </w:t>
      </w:r>
      <w:proofErr w:type="spellStart"/>
      <w:r w:rsidRPr="000F51E1">
        <w:t>Ottomanelli</w:t>
      </w:r>
      <w:proofErr w:type="spellEnd"/>
      <w:r w:rsidRPr="000F51E1">
        <w:t xml:space="preserve"> </w:t>
      </w:r>
      <w:proofErr w:type="spellStart"/>
      <w:r w:rsidRPr="000F51E1">
        <w:t>Magovern</w:t>
      </w:r>
      <w:proofErr w:type="spellEnd"/>
      <w:r w:rsidRPr="000F51E1">
        <w:t xml:space="preserve"> is an Assistant Director in the Disclosure Review and Accounting Office (DRAO) of the SEC’s Division of Investment Management. Her work focuses on issues that arise in connection with investment company registration and proxy </w:t>
      </w:r>
      <w:proofErr w:type="gramStart"/>
      <w:r w:rsidRPr="000F51E1">
        <w:t>statements, and</w:t>
      </w:r>
      <w:proofErr w:type="gramEnd"/>
      <w:r w:rsidRPr="000F51E1">
        <w:t xml:space="preserve"> includes issues relating to insurance products. Andrea joined the SEC in 2011 and, prior to joining DRAO, was a Branch Chief in the Division’s Chief Counsel’s Office as well as Senior Counsel in the Division’s Rulemaking Office.  </w:t>
      </w:r>
    </w:p>
    <w:p w14:paraId="58456012" w14:textId="77777777" w:rsidR="000F51E1" w:rsidRPr="000F51E1" w:rsidRDefault="000F51E1" w:rsidP="000F51E1"/>
    <w:p w14:paraId="58750C88" w14:textId="77777777" w:rsidR="000F51E1" w:rsidRPr="000F51E1" w:rsidRDefault="000F51E1" w:rsidP="000F51E1">
      <w:r w:rsidRPr="000F51E1">
        <w:t xml:space="preserve">Andrea received a Bachelor of Arts degree from the University of Dayton (cum laude), and a Juris Doctor degree from the Catholic University of America School of Law (magna cum laude). Prior to joining the SEC, Andrea worked for </w:t>
      </w:r>
      <w:proofErr w:type="gramStart"/>
      <w:r w:rsidRPr="000F51E1">
        <w:t>a number of</w:t>
      </w:r>
      <w:proofErr w:type="gramEnd"/>
      <w:r w:rsidRPr="000F51E1">
        <w:t xml:space="preserve"> years in the investment management practice group at K&amp;L Gates LLP.</w:t>
      </w:r>
    </w:p>
    <w:p w14:paraId="1578DF4F" w14:textId="77777777" w:rsidR="00C444A5" w:rsidRDefault="00C444A5"/>
    <w:p w14:paraId="2461C9BC" w14:textId="77777777" w:rsidR="000F51E1" w:rsidRDefault="000F51E1"/>
    <w:p w14:paraId="45519A32" w14:textId="77777777" w:rsidR="000F51E1" w:rsidRDefault="000F51E1"/>
    <w:p w14:paraId="05A7182C" w14:textId="77777777" w:rsidR="000F51E1" w:rsidRDefault="000F51E1"/>
    <w:p w14:paraId="03467661" w14:textId="77777777" w:rsidR="000F51E1" w:rsidRDefault="000F51E1"/>
    <w:p w14:paraId="20882E9B" w14:textId="77777777" w:rsidR="000F51E1" w:rsidRDefault="000F51E1"/>
    <w:p w14:paraId="34FFF3E8" w14:textId="77777777" w:rsidR="000F51E1" w:rsidRDefault="000F51E1"/>
    <w:p w14:paraId="6A9C658C" w14:textId="77777777" w:rsidR="000F51E1" w:rsidRDefault="000F51E1"/>
    <w:p w14:paraId="05A72EC7" w14:textId="77777777" w:rsidR="000F51E1" w:rsidRDefault="000F51E1"/>
    <w:p w14:paraId="7696FD20" w14:textId="77777777" w:rsidR="000F51E1" w:rsidRDefault="000F51E1"/>
    <w:p w14:paraId="6D20BA80" w14:textId="77777777" w:rsidR="000F51E1" w:rsidRDefault="000F51E1"/>
    <w:p w14:paraId="5A6E6E09" w14:textId="77777777" w:rsidR="000F51E1" w:rsidRDefault="000F51E1"/>
    <w:p w14:paraId="27596A74" w14:textId="77777777" w:rsidR="000F51E1" w:rsidRDefault="000F51E1"/>
    <w:p w14:paraId="6EED88CB" w14:textId="77777777" w:rsidR="000F51E1" w:rsidRDefault="000F51E1"/>
    <w:p w14:paraId="5A19FF17" w14:textId="77777777" w:rsidR="000F51E1" w:rsidRDefault="000F51E1"/>
    <w:p w14:paraId="0C13C16B" w14:textId="77777777" w:rsidR="000F51E1" w:rsidRDefault="000F51E1"/>
    <w:p w14:paraId="475569CF" w14:textId="77777777" w:rsidR="000F51E1" w:rsidRDefault="000F51E1"/>
    <w:p w14:paraId="6284DE22" w14:textId="77777777" w:rsidR="000F51E1" w:rsidRDefault="000F51E1"/>
    <w:p w14:paraId="3243F8DE" w14:textId="77777777" w:rsidR="000F51E1" w:rsidRDefault="000F51E1"/>
    <w:p w14:paraId="7C85DC39" w14:textId="77777777" w:rsidR="000F51E1" w:rsidRDefault="000F51E1"/>
    <w:p w14:paraId="5FF0A6CE" w14:textId="77777777" w:rsidR="000F51E1" w:rsidRDefault="000F51E1"/>
    <w:p w14:paraId="529EEC93" w14:textId="77777777" w:rsidR="000F51E1" w:rsidRDefault="000F51E1"/>
    <w:p w14:paraId="6DC8E70F" w14:textId="77777777" w:rsidR="000F51E1" w:rsidRDefault="000F51E1"/>
    <w:p w14:paraId="1115BD35" w14:textId="77777777" w:rsidR="000F51E1" w:rsidRDefault="000F51E1"/>
    <w:p w14:paraId="7F18C862" w14:textId="77777777" w:rsidR="000F51E1" w:rsidRDefault="000F51E1"/>
    <w:p w14:paraId="5BE74750" w14:textId="77777777" w:rsidR="000F51E1" w:rsidRDefault="000F51E1"/>
    <w:p w14:paraId="047966E7" w14:textId="77777777" w:rsidR="000F51E1" w:rsidRDefault="000F51E1"/>
    <w:p w14:paraId="4072A609" w14:textId="77777777" w:rsidR="000F51E1" w:rsidRDefault="000F51E1"/>
    <w:p w14:paraId="2107FBBF" w14:textId="77777777" w:rsidR="000F51E1" w:rsidRDefault="000F51E1"/>
    <w:p w14:paraId="35D876F9" w14:textId="77777777" w:rsidR="000F51E1" w:rsidRDefault="000F51E1"/>
    <w:p w14:paraId="0D0DAF64" w14:textId="77777777" w:rsidR="000F51E1" w:rsidRDefault="000F51E1"/>
    <w:p w14:paraId="7B4DE8B2" w14:textId="77777777" w:rsidR="000F51E1" w:rsidRDefault="000F51E1"/>
    <w:p w14:paraId="459BDC8A" w14:textId="77777777" w:rsidR="000F51E1" w:rsidRDefault="000F51E1"/>
    <w:p w14:paraId="2B1DFCA8" w14:textId="77777777" w:rsidR="000F51E1" w:rsidRDefault="000F51E1" w:rsidP="000F51E1">
      <w:r w:rsidRPr="000F51E1">
        <w:lastRenderedPageBreak/>
        <w:t>Christopher Menconi advises investment companies, including mutual funds and exchange-traded funds (ETFs), and their investment advisers and boards of directors on regulatory, compliance, organizational and operational matters. He also advises insurance companies on the regulation of variable insurance products under the federal securities laws. </w:t>
      </w:r>
    </w:p>
    <w:p w14:paraId="1BDE64B1" w14:textId="77777777" w:rsidR="000F51E1" w:rsidRDefault="000F51E1" w:rsidP="000F51E1"/>
    <w:p w14:paraId="57990629" w14:textId="3872817D" w:rsidR="000F51E1" w:rsidRDefault="000F51E1" w:rsidP="000F51E1">
      <w:r w:rsidRPr="000F51E1">
        <w:t xml:space="preserve">Chris regularly </w:t>
      </w:r>
      <w:proofErr w:type="gramStart"/>
      <w:r w:rsidRPr="000F51E1">
        <w:t>counsels</w:t>
      </w:r>
      <w:proofErr w:type="gramEnd"/>
      <w:r w:rsidRPr="000F51E1">
        <w:t xml:space="preserve"> clients on organizing, registering and operating investment companies. He assists investment companies and their advisers with the development of new products and services, the design of compliance programs, and the structure and negotiation of mergers and acquisitions. He works with regulators on behalf of clients to obtain interpretive and “no-action” guidance as well as exemptive relief. He advises boards of directors, including independent directors, on their duties under federal and state law. He also advises passive and active ETFs, multiple series and multi-class funds, funds of funds, manager of managers funds, alternative strategy funds and insurance-dedicated funds.</w:t>
      </w:r>
    </w:p>
    <w:p w14:paraId="67218640" w14:textId="77777777" w:rsidR="000F51E1" w:rsidRPr="000F51E1" w:rsidRDefault="000F51E1" w:rsidP="000F51E1"/>
    <w:p w14:paraId="248E343A" w14:textId="77777777" w:rsidR="000F51E1" w:rsidRPr="000F51E1" w:rsidRDefault="000F51E1" w:rsidP="000F51E1">
      <w:r w:rsidRPr="000F51E1">
        <w:t>Prior to joining Morgan Lewis, Chris was a partner in the financial services practice of another international law firm. A frequent speaker at industry conferences, he has authored several articles on securities regulatory issues. Chris has also served as an adjunct professor of law at the Catholic University of America Columbus School of Law, where he taught on investment management regulation.</w:t>
      </w:r>
    </w:p>
    <w:p w14:paraId="1A9974FB" w14:textId="77777777" w:rsidR="000F51E1" w:rsidRDefault="000F51E1"/>
    <w:p w14:paraId="77CCA2E9" w14:textId="77777777" w:rsidR="000F51E1" w:rsidRDefault="000F51E1"/>
    <w:p w14:paraId="192F0F3D" w14:textId="77777777" w:rsidR="000F51E1" w:rsidRDefault="000F51E1"/>
    <w:p w14:paraId="653AC9EE" w14:textId="77777777" w:rsidR="000F51E1" w:rsidRDefault="000F51E1"/>
    <w:p w14:paraId="09C2EACB" w14:textId="77777777" w:rsidR="000F51E1" w:rsidRDefault="000F51E1"/>
    <w:p w14:paraId="06310460" w14:textId="77777777" w:rsidR="000F51E1" w:rsidRDefault="000F51E1"/>
    <w:p w14:paraId="0254C87B" w14:textId="77777777" w:rsidR="000F51E1" w:rsidRDefault="000F51E1"/>
    <w:p w14:paraId="3B285BBB" w14:textId="77777777" w:rsidR="000F51E1" w:rsidRDefault="000F51E1"/>
    <w:p w14:paraId="2ADF2FE8" w14:textId="77777777" w:rsidR="000F51E1" w:rsidRDefault="000F51E1"/>
    <w:p w14:paraId="07BEBD9E" w14:textId="77777777" w:rsidR="000F51E1" w:rsidRDefault="000F51E1"/>
    <w:p w14:paraId="465B2EC6" w14:textId="77777777" w:rsidR="000F51E1" w:rsidRDefault="000F51E1"/>
    <w:p w14:paraId="2775226F" w14:textId="77777777" w:rsidR="000F51E1" w:rsidRDefault="000F51E1"/>
    <w:p w14:paraId="24D9023F" w14:textId="77777777" w:rsidR="000F51E1" w:rsidRDefault="000F51E1"/>
    <w:p w14:paraId="620EFCC7" w14:textId="77777777" w:rsidR="000F51E1" w:rsidRDefault="000F51E1"/>
    <w:p w14:paraId="64039E54" w14:textId="77777777" w:rsidR="000F51E1" w:rsidRDefault="000F51E1"/>
    <w:p w14:paraId="506F1BF8" w14:textId="77777777" w:rsidR="000F51E1" w:rsidRDefault="000F51E1"/>
    <w:p w14:paraId="3C7766CE" w14:textId="77777777" w:rsidR="000F51E1" w:rsidRDefault="000F51E1"/>
    <w:p w14:paraId="32E6DB31" w14:textId="77777777" w:rsidR="000F51E1" w:rsidRDefault="000F51E1"/>
    <w:p w14:paraId="3A5C4027" w14:textId="77777777" w:rsidR="000F51E1" w:rsidRDefault="000F51E1"/>
    <w:p w14:paraId="611AF4A0" w14:textId="77777777" w:rsidR="000F51E1" w:rsidRDefault="000F51E1"/>
    <w:p w14:paraId="235F6DEF" w14:textId="77777777" w:rsidR="000F51E1" w:rsidRDefault="000F51E1"/>
    <w:p w14:paraId="3C345EF4" w14:textId="77777777" w:rsidR="000F51E1" w:rsidRDefault="000F51E1"/>
    <w:p w14:paraId="63D3BF06" w14:textId="77777777" w:rsidR="000F51E1" w:rsidRDefault="000F51E1"/>
    <w:p w14:paraId="77B0D88F" w14:textId="77777777" w:rsidR="000F51E1" w:rsidRDefault="000F51E1" w:rsidP="000F51E1">
      <w:r w:rsidRPr="000F51E1">
        <w:lastRenderedPageBreak/>
        <w:t>With over 15 years of experience in securities law and investment management, Michael Spratt currently serves as Associate General Counsel at the Investment Company Institute, where he provides legal guidance on complex regulatory matters. Prior to this role, he spent nearly 15 years at the U.S. Securities and Exchange Commission (SEC), holding various leadership positions, including Assistant Director. In this capacity, Michael managed two branches of staff responsible for reviewing investment company filings to ensure compliance with securities laws. He also served as Commissioners Counsel, advising on investment management issues and representing Commissioners in meetings with staff and external stakeholders. Earlier in his SEC tenure, Michael led a team as Branch Chief in the Division of Investment Management, overseeing compliance reviews for mutual funds, ETFs, and other registrants.</w:t>
      </w:r>
    </w:p>
    <w:p w14:paraId="09FA3E98" w14:textId="77777777" w:rsidR="000F51E1" w:rsidRPr="000F51E1" w:rsidRDefault="000F51E1" w:rsidP="000F51E1"/>
    <w:p w14:paraId="5670CBC7" w14:textId="77777777" w:rsidR="000F51E1" w:rsidRPr="000F51E1" w:rsidRDefault="000F51E1" w:rsidP="000F51E1">
      <w:r w:rsidRPr="000F51E1">
        <w:t xml:space="preserve">Before joining the SEC, Michael practiced law at prominent firms, including Willkie Farr &amp; Gallagher LLP and Dewey &amp; </w:t>
      </w:r>
      <w:proofErr w:type="spellStart"/>
      <w:r w:rsidRPr="000F51E1">
        <w:t>LeBoeuf</w:t>
      </w:r>
      <w:proofErr w:type="spellEnd"/>
      <w:r w:rsidRPr="000F51E1">
        <w:t xml:space="preserve"> LLP. His work focused on advising mutual funds, hedge funds, private equity funds, and their advisers on transactional, compliance, and regulatory matters. Michael holds a Juris Doctor from Georgetown University Law Center and a Bachelor of Arts in Economics from The Johns Hopkins University. His extensive expertise in investment management law and regulatory compliance has made him a trusted advisor in the financial services industry.</w:t>
      </w:r>
    </w:p>
    <w:p w14:paraId="17EC1057" w14:textId="77777777" w:rsidR="000F51E1" w:rsidRDefault="000F51E1"/>
    <w:sectPr w:rsidR="000F5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E1"/>
    <w:rsid w:val="000F51E1"/>
    <w:rsid w:val="001E25DE"/>
    <w:rsid w:val="006C7ACB"/>
    <w:rsid w:val="00746F5A"/>
    <w:rsid w:val="009030F9"/>
    <w:rsid w:val="00C444A5"/>
    <w:rsid w:val="00E7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2CB0C7"/>
  <w15:chartTrackingRefBased/>
  <w15:docId w15:val="{26DA2EB8-A829-9940-AF4E-5BAFCD21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1E1"/>
    <w:rPr>
      <w:rFonts w:eastAsiaTheme="majorEastAsia" w:cstheme="majorBidi"/>
      <w:color w:val="272727" w:themeColor="text1" w:themeTint="D8"/>
    </w:rPr>
  </w:style>
  <w:style w:type="paragraph" w:styleId="Title">
    <w:name w:val="Title"/>
    <w:basedOn w:val="Normal"/>
    <w:next w:val="Normal"/>
    <w:link w:val="TitleChar"/>
    <w:uiPriority w:val="10"/>
    <w:qFormat/>
    <w:rsid w:val="000F5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1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1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51E1"/>
    <w:rPr>
      <w:i/>
      <w:iCs/>
      <w:color w:val="404040" w:themeColor="text1" w:themeTint="BF"/>
    </w:rPr>
  </w:style>
  <w:style w:type="paragraph" w:styleId="ListParagraph">
    <w:name w:val="List Paragraph"/>
    <w:basedOn w:val="Normal"/>
    <w:uiPriority w:val="34"/>
    <w:qFormat/>
    <w:rsid w:val="000F51E1"/>
    <w:pPr>
      <w:ind w:left="720"/>
      <w:contextualSpacing/>
    </w:pPr>
  </w:style>
  <w:style w:type="character" w:styleId="IntenseEmphasis">
    <w:name w:val="Intense Emphasis"/>
    <w:basedOn w:val="DefaultParagraphFont"/>
    <w:uiPriority w:val="21"/>
    <w:qFormat/>
    <w:rsid w:val="000F51E1"/>
    <w:rPr>
      <w:i/>
      <w:iCs/>
      <w:color w:val="0F4761" w:themeColor="accent1" w:themeShade="BF"/>
    </w:rPr>
  </w:style>
  <w:style w:type="paragraph" w:styleId="IntenseQuote">
    <w:name w:val="Intense Quote"/>
    <w:basedOn w:val="Normal"/>
    <w:next w:val="Normal"/>
    <w:link w:val="IntenseQuoteChar"/>
    <w:uiPriority w:val="30"/>
    <w:qFormat/>
    <w:rsid w:val="000F5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1E1"/>
    <w:rPr>
      <w:i/>
      <w:iCs/>
      <w:color w:val="0F4761" w:themeColor="accent1" w:themeShade="BF"/>
    </w:rPr>
  </w:style>
  <w:style w:type="character" w:styleId="IntenseReference">
    <w:name w:val="Intense Reference"/>
    <w:basedOn w:val="DefaultParagraphFont"/>
    <w:uiPriority w:val="32"/>
    <w:qFormat/>
    <w:rsid w:val="000F51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056884">
      <w:bodyDiv w:val="1"/>
      <w:marLeft w:val="0"/>
      <w:marRight w:val="0"/>
      <w:marTop w:val="0"/>
      <w:marBottom w:val="0"/>
      <w:divBdr>
        <w:top w:val="none" w:sz="0" w:space="0" w:color="auto"/>
        <w:left w:val="none" w:sz="0" w:space="0" w:color="auto"/>
        <w:bottom w:val="none" w:sz="0" w:space="0" w:color="auto"/>
        <w:right w:val="none" w:sz="0" w:space="0" w:color="auto"/>
      </w:divBdr>
    </w:div>
    <w:div w:id="857157754">
      <w:bodyDiv w:val="1"/>
      <w:marLeft w:val="0"/>
      <w:marRight w:val="0"/>
      <w:marTop w:val="0"/>
      <w:marBottom w:val="0"/>
      <w:divBdr>
        <w:top w:val="none" w:sz="0" w:space="0" w:color="auto"/>
        <w:left w:val="none" w:sz="0" w:space="0" w:color="auto"/>
        <w:bottom w:val="none" w:sz="0" w:space="0" w:color="auto"/>
        <w:right w:val="none" w:sz="0" w:space="0" w:color="auto"/>
      </w:divBdr>
    </w:div>
    <w:div w:id="967125147">
      <w:bodyDiv w:val="1"/>
      <w:marLeft w:val="0"/>
      <w:marRight w:val="0"/>
      <w:marTop w:val="0"/>
      <w:marBottom w:val="0"/>
      <w:divBdr>
        <w:top w:val="none" w:sz="0" w:space="0" w:color="auto"/>
        <w:left w:val="none" w:sz="0" w:space="0" w:color="auto"/>
        <w:bottom w:val="none" w:sz="0" w:space="0" w:color="auto"/>
        <w:right w:val="none" w:sz="0" w:space="0" w:color="auto"/>
      </w:divBdr>
    </w:div>
    <w:div w:id="1510873694">
      <w:bodyDiv w:val="1"/>
      <w:marLeft w:val="0"/>
      <w:marRight w:val="0"/>
      <w:marTop w:val="0"/>
      <w:marBottom w:val="0"/>
      <w:divBdr>
        <w:top w:val="none" w:sz="0" w:space="0" w:color="auto"/>
        <w:left w:val="none" w:sz="0" w:space="0" w:color="auto"/>
        <w:bottom w:val="none" w:sz="0" w:space="0" w:color="auto"/>
        <w:right w:val="none" w:sz="0" w:space="0" w:color="auto"/>
      </w:divBdr>
    </w:div>
    <w:div w:id="1655795567">
      <w:bodyDiv w:val="1"/>
      <w:marLeft w:val="0"/>
      <w:marRight w:val="0"/>
      <w:marTop w:val="0"/>
      <w:marBottom w:val="0"/>
      <w:divBdr>
        <w:top w:val="none" w:sz="0" w:space="0" w:color="auto"/>
        <w:left w:val="none" w:sz="0" w:space="0" w:color="auto"/>
        <w:bottom w:val="none" w:sz="0" w:space="0" w:color="auto"/>
        <w:right w:val="none" w:sz="0" w:space="0" w:color="auto"/>
      </w:divBdr>
    </w:div>
    <w:div w:id="1807358659">
      <w:bodyDiv w:val="1"/>
      <w:marLeft w:val="0"/>
      <w:marRight w:val="0"/>
      <w:marTop w:val="0"/>
      <w:marBottom w:val="0"/>
      <w:divBdr>
        <w:top w:val="none" w:sz="0" w:space="0" w:color="auto"/>
        <w:left w:val="none" w:sz="0" w:space="0" w:color="auto"/>
        <w:bottom w:val="none" w:sz="0" w:space="0" w:color="auto"/>
        <w:right w:val="none" w:sz="0" w:space="0" w:color="auto"/>
      </w:divBdr>
    </w:div>
    <w:div w:id="1833452238">
      <w:bodyDiv w:val="1"/>
      <w:marLeft w:val="0"/>
      <w:marRight w:val="0"/>
      <w:marTop w:val="0"/>
      <w:marBottom w:val="0"/>
      <w:divBdr>
        <w:top w:val="none" w:sz="0" w:space="0" w:color="auto"/>
        <w:left w:val="none" w:sz="0" w:space="0" w:color="auto"/>
        <w:bottom w:val="none" w:sz="0" w:space="0" w:color="auto"/>
        <w:right w:val="none" w:sz="0" w:space="0" w:color="auto"/>
      </w:divBdr>
    </w:div>
    <w:div w:id="185264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Ferraro, Joe</dc:creator>
  <cp:keywords/>
  <dc:description/>
  <cp:lastModifiedBy>Ferraro, Joe</cp:lastModifiedBy>
  <cp:revision>1</cp:revision>
  <dcterms:created xsi:type="dcterms:W3CDTF">2025-10-01T20:44:00Z</dcterms:created>
  <dcterms:modified xsi:type="dcterms:W3CDTF">2025-10-01T20:54:00Z</dcterms:modified>
</cp:coreProperties>
</file>