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73172" w14:textId="77777777" w:rsidR="003478E7" w:rsidRPr="003478E7" w:rsidRDefault="003478E7" w:rsidP="003478E7">
      <w:pPr>
        <w:jc w:val="center"/>
        <w:rPr>
          <w:rFonts w:ascii="Arial" w:hAnsi="Arial" w:cs="Arial"/>
          <w:b/>
          <w:bCs/>
          <w:color w:val="000000" w:themeColor="text1"/>
          <w:szCs w:val="24"/>
        </w:rPr>
      </w:pPr>
      <w:r w:rsidRPr="003478E7">
        <w:rPr>
          <w:rFonts w:ascii="Arial" w:hAnsi="Arial" w:cs="Arial"/>
          <w:b/>
          <w:bCs/>
          <w:color w:val="000000" w:themeColor="text1"/>
          <w:szCs w:val="24"/>
        </w:rPr>
        <w:t>Developments in the Regulation of Financial Products</w:t>
      </w:r>
    </w:p>
    <w:p w14:paraId="4DA0D009" w14:textId="77777777" w:rsidR="003478E7" w:rsidRPr="003478E7" w:rsidRDefault="003478E7" w:rsidP="003478E7">
      <w:pPr>
        <w:jc w:val="center"/>
        <w:rPr>
          <w:rFonts w:ascii="Arial" w:hAnsi="Arial" w:cs="Arial"/>
          <w:bCs/>
          <w:color w:val="000000" w:themeColor="text1"/>
        </w:rPr>
      </w:pPr>
      <w:r w:rsidRPr="003478E7">
        <w:rPr>
          <w:rFonts w:ascii="Arial" w:hAnsi="Arial" w:cs="Arial"/>
          <w:bCs/>
          <w:color w:val="000000" w:themeColor="text1"/>
        </w:rPr>
        <w:t>October 4, 2024</w:t>
      </w:r>
    </w:p>
    <w:p w14:paraId="2D59B938" w14:textId="77777777" w:rsidR="003478E7" w:rsidRPr="003478E7" w:rsidRDefault="003478E7" w:rsidP="003478E7">
      <w:pPr>
        <w:jc w:val="center"/>
        <w:rPr>
          <w:rFonts w:ascii="Arial" w:hAnsi="Arial" w:cs="Arial"/>
          <w:bCs/>
          <w:color w:val="000000" w:themeColor="text1"/>
        </w:rPr>
      </w:pPr>
      <w:r w:rsidRPr="003478E7">
        <w:rPr>
          <w:rFonts w:ascii="Arial" w:hAnsi="Arial" w:cs="Arial"/>
          <w:bCs/>
          <w:color w:val="000000" w:themeColor="text1"/>
        </w:rPr>
        <w:t>9:00 am – 5:15 pm ET</w:t>
      </w:r>
    </w:p>
    <w:p w14:paraId="44AD4DB5" w14:textId="77777777" w:rsidR="003478E7" w:rsidRDefault="003478E7" w:rsidP="003A3EE3">
      <w:pPr>
        <w:jc w:val="center"/>
        <w:rPr>
          <w:rFonts w:ascii="Arial" w:hAnsi="Arial" w:cs="Arial"/>
          <w:b/>
          <w:bCs/>
          <w:color w:val="000000" w:themeColor="text1"/>
          <w:szCs w:val="24"/>
          <w:u w:val="single"/>
        </w:rPr>
      </w:pPr>
    </w:p>
    <w:p w14:paraId="372DB28A" w14:textId="77777777" w:rsidR="003478E7" w:rsidRDefault="003478E7" w:rsidP="003A3EE3">
      <w:pPr>
        <w:jc w:val="center"/>
        <w:rPr>
          <w:rFonts w:ascii="Arial" w:hAnsi="Arial" w:cs="Arial"/>
          <w:b/>
          <w:bCs/>
          <w:color w:val="000000" w:themeColor="text1"/>
          <w:szCs w:val="24"/>
          <w:u w:val="single"/>
        </w:rPr>
      </w:pPr>
    </w:p>
    <w:p w14:paraId="206EA158" w14:textId="04BC3E43" w:rsidR="003A3EE3" w:rsidRPr="00032B35" w:rsidRDefault="003A3EE3" w:rsidP="003A3EE3">
      <w:pPr>
        <w:jc w:val="center"/>
        <w:rPr>
          <w:rFonts w:ascii="Arial" w:hAnsi="Arial" w:cs="Arial"/>
          <w:b/>
          <w:bCs/>
          <w:color w:val="000000" w:themeColor="text1"/>
          <w:szCs w:val="24"/>
          <w:u w:val="single"/>
        </w:rPr>
      </w:pPr>
      <w:r w:rsidRPr="00032B35">
        <w:rPr>
          <w:rFonts w:ascii="Arial" w:hAnsi="Arial" w:cs="Arial"/>
          <w:b/>
          <w:bCs/>
          <w:color w:val="000000" w:themeColor="text1"/>
          <w:szCs w:val="24"/>
          <w:u w:val="single"/>
        </w:rPr>
        <w:t>Examinations and Enforcement of the Federal Securities Laws</w:t>
      </w:r>
    </w:p>
    <w:p w14:paraId="4F307D84" w14:textId="77777777" w:rsidR="003A3EE3" w:rsidRPr="00032B35" w:rsidRDefault="003A3EE3" w:rsidP="003A3EE3">
      <w:pPr>
        <w:jc w:val="center"/>
        <w:rPr>
          <w:rFonts w:ascii="Arial" w:hAnsi="Arial" w:cs="Arial"/>
          <w:bCs/>
          <w:color w:val="000000" w:themeColor="text1"/>
          <w:szCs w:val="24"/>
        </w:rPr>
      </w:pPr>
      <w:r w:rsidRPr="00032B35">
        <w:rPr>
          <w:rFonts w:ascii="Arial" w:hAnsi="Arial" w:cs="Arial"/>
          <w:bCs/>
          <w:color w:val="000000" w:themeColor="text1"/>
          <w:szCs w:val="24"/>
        </w:rPr>
        <w:t>2:30 p.m. – 3:45 p.m.</w:t>
      </w:r>
    </w:p>
    <w:p w14:paraId="6CFEC889" w14:textId="77777777" w:rsidR="00957630" w:rsidRPr="00032B35" w:rsidRDefault="00957630">
      <w:pPr>
        <w:rPr>
          <w:color w:val="000000" w:themeColor="text1"/>
        </w:rPr>
      </w:pPr>
    </w:p>
    <w:p w14:paraId="5F26FF19" w14:textId="77777777" w:rsidR="003A3EE3" w:rsidRPr="00032B35" w:rsidRDefault="003A3EE3" w:rsidP="003A3EE3">
      <w:pPr>
        <w:rPr>
          <w:rFonts w:ascii="Arial" w:hAnsi="Arial" w:cs="Arial"/>
          <w:b/>
          <w:color w:val="000000" w:themeColor="text1"/>
          <w:szCs w:val="24"/>
        </w:rPr>
      </w:pPr>
      <w:r w:rsidRPr="00032B35">
        <w:rPr>
          <w:rFonts w:ascii="Arial" w:hAnsi="Arial" w:cs="Arial"/>
          <w:b/>
          <w:color w:val="000000" w:themeColor="text1"/>
          <w:szCs w:val="24"/>
        </w:rPr>
        <w:t>Resource Materials:</w:t>
      </w:r>
    </w:p>
    <w:p w14:paraId="76153852" w14:textId="77777777" w:rsidR="003A3EE3" w:rsidRPr="00032B35" w:rsidRDefault="003478E7" w:rsidP="003A3EE3">
      <w:pPr>
        <w:pStyle w:val="ListParagraph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ascii="Arial" w:hAnsi="Arial" w:cs="Arial"/>
          <w:color w:val="0070C0"/>
          <w:sz w:val="22"/>
          <w:szCs w:val="22"/>
          <w:u w:val="single"/>
          <w:lang w:val="x-none"/>
        </w:rPr>
      </w:pPr>
      <w:hyperlink r:id="rId7" w:history="1">
        <w:r w:rsidR="003A3EE3" w:rsidRPr="00032B35">
          <w:rPr>
            <w:rStyle w:val="Hyperlink"/>
            <w:rFonts w:ascii="Arial" w:hAnsi="Arial" w:cs="Arial"/>
            <w:color w:val="0070C0"/>
            <w:sz w:val="22"/>
            <w:szCs w:val="22"/>
            <w:u w:val="single"/>
            <w:lang w:val="x-none"/>
          </w:rPr>
          <w:t>SEC 2024 Examination Priorities</w:t>
        </w:r>
      </w:hyperlink>
    </w:p>
    <w:p w14:paraId="271EA49E" w14:textId="77777777" w:rsidR="003A3EE3" w:rsidRPr="00032B35" w:rsidRDefault="003478E7" w:rsidP="003A3EE3">
      <w:pPr>
        <w:pStyle w:val="ListParagraph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ascii="Arial" w:hAnsi="Arial" w:cs="Arial"/>
          <w:color w:val="0070C0"/>
          <w:sz w:val="22"/>
          <w:szCs w:val="22"/>
          <w:u w:val="single"/>
          <w:lang w:val="x-none"/>
        </w:rPr>
      </w:pPr>
      <w:hyperlink r:id="rId8" w:history="1">
        <w:r w:rsidR="003A3EE3" w:rsidRPr="00032B35">
          <w:rPr>
            <w:rStyle w:val="Hyperlink"/>
            <w:rFonts w:ascii="Arial" w:hAnsi="Arial" w:cs="Arial"/>
            <w:color w:val="0070C0"/>
            <w:sz w:val="22"/>
            <w:szCs w:val="22"/>
            <w:u w:val="single"/>
            <w:lang w:val="x-none"/>
          </w:rPr>
          <w:t>SEC Division of Examinations Releases 2024 Priorities (December 2023)</w:t>
        </w:r>
      </w:hyperlink>
    </w:p>
    <w:p w14:paraId="5D9DFA91" w14:textId="77777777" w:rsidR="003A3EE3" w:rsidRPr="00032B35" w:rsidRDefault="003478E7" w:rsidP="003A3EE3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  <w:color w:val="0070C0"/>
          <w:sz w:val="22"/>
          <w:szCs w:val="22"/>
          <w:u w:val="single"/>
        </w:rPr>
      </w:pPr>
      <w:hyperlink r:id="rId9" w:history="1">
        <w:r w:rsidR="003A3EE3" w:rsidRPr="00032B35">
          <w:rPr>
            <w:rStyle w:val="Hyperlink"/>
            <w:rFonts w:ascii="Arial" w:hAnsi="Arial" w:cs="Arial"/>
            <w:color w:val="0070C0"/>
            <w:sz w:val="22"/>
            <w:szCs w:val="22"/>
            <w:u w:val="single"/>
          </w:rPr>
          <w:t>SolarWinds Corporation and Timothy G. Brown (October 30, 2023)</w:t>
        </w:r>
      </w:hyperlink>
    </w:p>
    <w:p w14:paraId="10A27D39" w14:textId="77777777" w:rsidR="003A3EE3" w:rsidRPr="00032B35" w:rsidRDefault="003478E7" w:rsidP="003A3EE3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  <w:color w:val="0070C0"/>
          <w:sz w:val="22"/>
          <w:szCs w:val="22"/>
          <w:u w:val="single"/>
        </w:rPr>
      </w:pPr>
      <w:hyperlink r:id="rId10" w:history="1">
        <w:r w:rsidR="003A3EE3" w:rsidRPr="00032B35">
          <w:rPr>
            <w:rStyle w:val="Hyperlink"/>
            <w:rFonts w:ascii="Arial" w:hAnsi="Arial" w:cs="Arial"/>
            <w:color w:val="0070C0"/>
            <w:sz w:val="22"/>
            <w:szCs w:val="22"/>
            <w:u w:val="single"/>
          </w:rPr>
          <w:t>CATALYST CAPITAL ADVISORS LLC (April 29, 2024)</w:t>
        </w:r>
      </w:hyperlink>
    </w:p>
    <w:p w14:paraId="44AAA070" w14:textId="77777777" w:rsidR="003A3EE3" w:rsidRPr="00032B35" w:rsidRDefault="003478E7" w:rsidP="003A3EE3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  <w:color w:val="0070C0"/>
          <w:sz w:val="22"/>
          <w:szCs w:val="22"/>
          <w:u w:val="single"/>
        </w:rPr>
      </w:pPr>
      <w:hyperlink r:id="rId11" w:history="1">
        <w:r w:rsidR="003A3EE3" w:rsidRPr="00032B35">
          <w:rPr>
            <w:rStyle w:val="Hyperlink"/>
            <w:rFonts w:ascii="Arial" w:hAnsi="Arial" w:cs="Arial"/>
            <w:color w:val="0070C0"/>
            <w:sz w:val="22"/>
            <w:szCs w:val="22"/>
            <w:u w:val="single"/>
          </w:rPr>
          <w:t>SOUND POINT CAPITAL MANAGEMENT, LP</w:t>
        </w:r>
      </w:hyperlink>
      <w:r w:rsidR="003A3EE3" w:rsidRPr="00032B35">
        <w:rPr>
          <w:rFonts w:ascii="Arial" w:hAnsi="Arial" w:cs="Arial"/>
          <w:color w:val="0070C0"/>
          <w:sz w:val="22"/>
          <w:szCs w:val="22"/>
          <w:u w:val="single"/>
        </w:rPr>
        <w:t xml:space="preserve"> (August 26, 2024)</w:t>
      </w:r>
    </w:p>
    <w:p w14:paraId="60D9D362" w14:textId="77777777" w:rsidR="003A3EE3" w:rsidRPr="00032B35" w:rsidRDefault="003A3EE3" w:rsidP="003A3EE3">
      <w:pPr>
        <w:pStyle w:val="ListParagraph"/>
        <w:numPr>
          <w:ilvl w:val="0"/>
          <w:numId w:val="1"/>
        </w:numPr>
        <w:spacing w:before="120" w:after="120"/>
        <w:rPr>
          <w:rStyle w:val="Hyperlink"/>
          <w:rFonts w:ascii="Arial" w:hAnsi="Arial" w:cs="Arial"/>
          <w:color w:val="0070C0"/>
          <w:sz w:val="22"/>
          <w:szCs w:val="22"/>
          <w:u w:val="single"/>
        </w:rPr>
      </w:pPr>
      <w:r w:rsidRPr="00032B35">
        <w:rPr>
          <w:rFonts w:ascii="Arial" w:hAnsi="Arial" w:cs="Arial"/>
          <w:color w:val="0070C0"/>
          <w:sz w:val="22"/>
          <w:szCs w:val="22"/>
          <w:u w:val="single"/>
        </w:rPr>
        <w:fldChar w:fldCharType="begin"/>
      </w:r>
      <w:r w:rsidRPr="00032B35">
        <w:rPr>
          <w:rFonts w:ascii="Arial" w:hAnsi="Arial" w:cs="Arial"/>
          <w:color w:val="0070C0"/>
          <w:sz w:val="22"/>
          <w:szCs w:val="22"/>
          <w:u w:val="single"/>
        </w:rPr>
        <w:instrText>HYPERLINK "https://www.sec.gov/newsroom/press-releases/2024-98"</w:instrText>
      </w:r>
      <w:r w:rsidRPr="00032B35">
        <w:rPr>
          <w:rFonts w:ascii="Arial" w:hAnsi="Arial" w:cs="Arial"/>
          <w:color w:val="0070C0"/>
          <w:sz w:val="22"/>
          <w:szCs w:val="22"/>
          <w:u w:val="single"/>
        </w:rPr>
      </w:r>
      <w:r w:rsidRPr="00032B35">
        <w:rPr>
          <w:rFonts w:ascii="Arial" w:hAnsi="Arial" w:cs="Arial"/>
          <w:color w:val="0070C0"/>
          <w:sz w:val="22"/>
          <w:szCs w:val="22"/>
          <w:u w:val="single"/>
        </w:rPr>
        <w:fldChar w:fldCharType="separate"/>
      </w:r>
      <w:r w:rsidRPr="00032B35">
        <w:rPr>
          <w:rStyle w:val="Hyperlink"/>
          <w:rFonts w:ascii="Arial" w:hAnsi="Arial" w:cs="Arial"/>
          <w:color w:val="0070C0"/>
          <w:sz w:val="22"/>
          <w:szCs w:val="22"/>
          <w:u w:val="single"/>
        </w:rPr>
        <w:t>Twenty-Six Firms to Pay More Than $390 Million Combined to Settle SEC’s Charges for Widespread Recordkeeping Failures (August 2024)</w:t>
      </w:r>
    </w:p>
    <w:p w14:paraId="1F8F499E" w14:textId="77777777" w:rsidR="003A3EE3" w:rsidRPr="00032B35" w:rsidRDefault="003A3EE3" w:rsidP="003A3EE3">
      <w:pPr>
        <w:pStyle w:val="ListParagraph"/>
        <w:numPr>
          <w:ilvl w:val="0"/>
          <w:numId w:val="1"/>
        </w:numPr>
        <w:rPr>
          <w:color w:val="0070C0"/>
          <w:u w:val="single"/>
        </w:rPr>
      </w:pPr>
      <w:r w:rsidRPr="00032B35">
        <w:rPr>
          <w:color w:val="0070C0"/>
          <w:u w:val="single"/>
        </w:rPr>
        <w:fldChar w:fldCharType="end"/>
      </w:r>
      <w:hyperlink r:id="rId12" w:history="1">
        <w:r w:rsidRPr="00032B35">
          <w:rPr>
            <w:rStyle w:val="Hyperlink"/>
            <w:rFonts w:ascii="Arial" w:hAnsi="Arial" w:cs="Arial"/>
            <w:color w:val="0070C0"/>
            <w:sz w:val="22"/>
            <w:szCs w:val="22"/>
            <w:u w:val="single"/>
          </w:rPr>
          <w:t>SEC Charges Nine Investment Advisers in Ongoing Sweep into Marketing Rule Violations (September 2024)</w:t>
        </w:r>
      </w:hyperlink>
    </w:p>
    <w:p w14:paraId="57080545" w14:textId="77777777" w:rsidR="003A3EE3" w:rsidRPr="00032B35" w:rsidRDefault="003478E7" w:rsidP="003A3EE3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  <w:color w:val="0070C0"/>
          <w:sz w:val="22"/>
          <w:szCs w:val="22"/>
          <w:u w:val="single"/>
        </w:rPr>
      </w:pPr>
      <w:hyperlink r:id="rId13" w:history="1">
        <w:r w:rsidR="003A3EE3" w:rsidRPr="00032B35">
          <w:rPr>
            <w:rStyle w:val="Hyperlink"/>
            <w:rFonts w:ascii="Arial" w:hAnsi="Arial" w:cs="Arial"/>
            <w:color w:val="0070C0"/>
            <w:sz w:val="22"/>
            <w:szCs w:val="22"/>
            <w:u w:val="single"/>
          </w:rPr>
          <w:t>Whistleblower Protections (SEC)</w:t>
        </w:r>
      </w:hyperlink>
    </w:p>
    <w:p w14:paraId="69BEFDDB" w14:textId="77777777" w:rsidR="003A3EE3" w:rsidRPr="00032B35" w:rsidRDefault="003478E7" w:rsidP="003A3EE3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  <w:color w:val="0070C0"/>
          <w:sz w:val="22"/>
          <w:szCs w:val="22"/>
          <w:u w:val="single"/>
        </w:rPr>
      </w:pPr>
      <w:hyperlink r:id="rId14" w:history="1">
        <w:r w:rsidR="003A3EE3" w:rsidRPr="00032B35">
          <w:rPr>
            <w:rStyle w:val="Hyperlink"/>
            <w:rFonts w:ascii="Arial" w:hAnsi="Arial" w:cs="Arial"/>
            <w:color w:val="0070C0"/>
            <w:sz w:val="22"/>
            <w:szCs w:val="22"/>
            <w:u w:val="single"/>
          </w:rPr>
          <w:t>Supreme Court Ends Chevron Deference Among String of Decisions Limiting Agency Power</w:t>
        </w:r>
      </w:hyperlink>
      <w:r w:rsidR="003A3EE3" w:rsidRPr="00032B35">
        <w:rPr>
          <w:rFonts w:ascii="Arial" w:hAnsi="Arial" w:cs="Arial"/>
          <w:color w:val="0070C0"/>
          <w:sz w:val="22"/>
          <w:szCs w:val="22"/>
          <w:u w:val="single"/>
        </w:rPr>
        <w:t xml:space="preserve"> (July 2024)</w:t>
      </w:r>
    </w:p>
    <w:p w14:paraId="5F1DB9EF" w14:textId="77777777" w:rsidR="003A3EE3" w:rsidRPr="00032B35" w:rsidRDefault="003478E7" w:rsidP="003A3EE3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  <w:color w:val="0070C0"/>
          <w:sz w:val="22"/>
          <w:szCs w:val="22"/>
          <w:u w:val="single"/>
        </w:rPr>
      </w:pPr>
      <w:hyperlink r:id="rId15" w:history="1">
        <w:r w:rsidR="003A3EE3" w:rsidRPr="00032B35">
          <w:rPr>
            <w:rStyle w:val="Hyperlink"/>
            <w:rFonts w:ascii="Arial" w:hAnsi="Arial" w:cs="Arial"/>
            <w:color w:val="0070C0"/>
            <w:sz w:val="22"/>
            <w:szCs w:val="22"/>
            <w:u w:val="single"/>
          </w:rPr>
          <w:t>Supreme Court Curtails SEC In-House Judges on Litigated Civil Penalties (July 2024)</w:t>
        </w:r>
      </w:hyperlink>
    </w:p>
    <w:p w14:paraId="0BCAEDF6" w14:textId="77777777" w:rsidR="003A3EE3" w:rsidRDefault="003A3EE3"/>
    <w:sectPr w:rsidR="003A3E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8E50F" w14:textId="77777777" w:rsidR="00730BFA" w:rsidRDefault="00730BFA" w:rsidP="00730BFA">
      <w:r>
        <w:separator/>
      </w:r>
    </w:p>
  </w:endnote>
  <w:endnote w:type="continuationSeparator" w:id="0">
    <w:p w14:paraId="29FDC4B0" w14:textId="77777777" w:rsidR="00730BFA" w:rsidRDefault="00730BFA" w:rsidP="0073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E6DDF" w14:textId="77777777" w:rsidR="00730BFA" w:rsidRDefault="00730BFA" w:rsidP="00730BFA">
      <w:r>
        <w:separator/>
      </w:r>
    </w:p>
  </w:footnote>
  <w:footnote w:type="continuationSeparator" w:id="0">
    <w:p w14:paraId="31F3BED5" w14:textId="77777777" w:rsidR="00730BFA" w:rsidRDefault="00730BFA" w:rsidP="00730B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D44068"/>
    <w:multiLevelType w:val="hybridMultilevel"/>
    <w:tmpl w:val="406AB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5673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E3"/>
    <w:rsid w:val="00032B35"/>
    <w:rsid w:val="000B7A13"/>
    <w:rsid w:val="00136746"/>
    <w:rsid w:val="00294655"/>
    <w:rsid w:val="003478E7"/>
    <w:rsid w:val="003A3EE3"/>
    <w:rsid w:val="00460B79"/>
    <w:rsid w:val="005342CF"/>
    <w:rsid w:val="00616270"/>
    <w:rsid w:val="0062088C"/>
    <w:rsid w:val="00730BFA"/>
    <w:rsid w:val="007552A2"/>
    <w:rsid w:val="00774E2A"/>
    <w:rsid w:val="00895B5A"/>
    <w:rsid w:val="00957630"/>
    <w:rsid w:val="0099220F"/>
    <w:rsid w:val="00A95C1B"/>
    <w:rsid w:val="00AB1FA3"/>
    <w:rsid w:val="00AE2ABC"/>
    <w:rsid w:val="00B9454D"/>
    <w:rsid w:val="00C5389E"/>
    <w:rsid w:val="00CB41E6"/>
    <w:rsid w:val="00CE17D0"/>
    <w:rsid w:val="00E06DF4"/>
    <w:rsid w:val="00E2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E6B8B"/>
  <w15:chartTrackingRefBased/>
  <w15:docId w15:val="{1E5DDDD1-6A20-4CA9-8252-B3BF7451D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E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3E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3E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3E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3E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3E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3E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3E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3E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3E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3E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3E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3E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3E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3E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3E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3E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3E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3E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3E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3E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3E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3E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3E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3E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3E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3E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3E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3E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3EE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rsid w:val="003A3EE3"/>
    <w:rPr>
      <w:color w:val="auto"/>
      <w:u w:val="none"/>
    </w:rPr>
  </w:style>
  <w:style w:type="paragraph" w:styleId="Header">
    <w:name w:val="header"/>
    <w:basedOn w:val="Normal"/>
    <w:link w:val="HeaderChar"/>
    <w:uiPriority w:val="99"/>
    <w:unhideWhenUsed/>
    <w:rsid w:val="00730B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BF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30B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BF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chert.com/knowledge/onpoint/2023/12/sec-division-of-examinations-releases-2024-priorities.html" TargetMode="External"/><Relationship Id="rId13" Type="http://schemas.openxmlformats.org/officeDocument/2006/relationships/hyperlink" Target="https://www.sec.gov/enforcement-litigation/whistleblower-program/whistleblower-protection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ec.gov/files/2024-exam-priorities.pdf" TargetMode="External"/><Relationship Id="rId12" Type="http://schemas.openxmlformats.org/officeDocument/2006/relationships/hyperlink" Target="https://www.sec.gov/newsroom/press-releases/2024-12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ec.gov/files/litigation/admin/2024/ia-6666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dechert.com/knowledge/onpoint/2024/7/supreme-court-curtails-sec-in-house-judges-on-litigated-civil-pe.html" TargetMode="External"/><Relationship Id="rId10" Type="http://schemas.openxmlformats.org/officeDocument/2006/relationships/hyperlink" Target="https://www.sec.gov/files/litigation/admin/2024/ia-659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ec.gov/files/litigation/complaints/2023/comp-pr2023-227.pdf" TargetMode="External"/><Relationship Id="rId14" Type="http://schemas.openxmlformats.org/officeDocument/2006/relationships/hyperlink" Target="https://www.dechert.com/knowledge/onpoint/2024/7/supreme-court-ends-chevron-deference--limits-agency-pow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1564</Characters>
  <Application>Microsoft Office Word</Application>
  <DocSecurity>0</DocSecurity>
  <Lines>13</Lines>
  <Paragraphs>3</Paragraphs>
  <ScaleCrop>false</ScaleCrop>
  <Company>Dechert LLP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etyeryar</dc:creator>
  <cp:keywords/>
  <dc:description/>
  <cp:lastModifiedBy>etyeryar</cp:lastModifiedBy>
  <cp:revision>4</cp:revision>
  <dcterms:created xsi:type="dcterms:W3CDTF">2024-10-03T21:00:00Z</dcterms:created>
  <dcterms:modified xsi:type="dcterms:W3CDTF">2024-10-03T21:06:00Z</dcterms:modified>
</cp:coreProperties>
</file>