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9F5A6" w14:textId="77777777" w:rsidR="00187883" w:rsidRPr="00187883" w:rsidRDefault="00187883" w:rsidP="0018788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78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Developments in the Regulation of Financial Products</w:t>
      </w:r>
    </w:p>
    <w:p w14:paraId="2E92C7AA" w14:textId="1E2BCB3B" w:rsidR="00187883" w:rsidRPr="00187883" w:rsidRDefault="00187883" w:rsidP="0018788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7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October 4, </w:t>
      </w:r>
      <w:r w:rsidRPr="00187883">
        <w:rPr>
          <w:rFonts w:ascii="Times New Roman" w:hAnsi="Times New Roman" w:cs="Times New Roman"/>
          <w:color w:val="000000" w:themeColor="text1"/>
          <w:sz w:val="24"/>
          <w:szCs w:val="24"/>
        </w:rPr>
        <w:t>2024,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7883">
        <w:rPr>
          <w:rFonts w:ascii="Times New Roman" w:hAnsi="Times New Roman" w:cs="Times New Roman"/>
          <w:color w:val="000000" w:themeColor="text1"/>
          <w:sz w:val="24"/>
          <w:szCs w:val="24"/>
        </w:rPr>
        <w:t>9:00 am – 5:15 pm ET</w:t>
      </w:r>
    </w:p>
    <w:p w14:paraId="6796C1D1" w14:textId="77777777" w:rsidR="00187883" w:rsidRDefault="00187883" w:rsidP="00313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0993DAA" w14:textId="4BB48673" w:rsidR="0065427D" w:rsidRPr="0084693C" w:rsidRDefault="0065427D" w:rsidP="00313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8469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Registered Funds and ETFs</w:t>
      </w:r>
    </w:p>
    <w:p w14:paraId="7C69C436" w14:textId="515A1936" w:rsidR="0065427D" w:rsidRPr="0084693C" w:rsidRDefault="0065427D" w:rsidP="00313DA6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469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9:10 a.m. – 10:25 a.m.</w:t>
      </w:r>
    </w:p>
    <w:p w14:paraId="76F1A361" w14:textId="77777777" w:rsidR="00313DA6" w:rsidRPr="0084693C" w:rsidRDefault="00313DA6" w:rsidP="0065427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30F30A0" w14:textId="0585E333" w:rsidR="0065427D" w:rsidRPr="0084693C" w:rsidRDefault="0065427D" w:rsidP="0065427D">
      <w:pPr>
        <w:keepNext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469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Resource Materials (click links to access):</w:t>
      </w:r>
    </w:p>
    <w:p w14:paraId="58C94C82" w14:textId="77777777" w:rsidR="0065427D" w:rsidRDefault="0065427D" w:rsidP="0065427D">
      <w:pPr>
        <w:keepNext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D88F4AA" w14:textId="77777777" w:rsidR="0065427D" w:rsidRPr="005F4E7F" w:rsidRDefault="0065427D" w:rsidP="0065427D">
      <w:pPr>
        <w:keepNext/>
        <w:spacing w:after="0" w:line="240" w:lineRule="auto"/>
        <w:ind w:left="36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F4E7F">
        <w:rPr>
          <w:rFonts w:ascii="Times New Roman" w:hAnsi="Times New Roman" w:cs="Times New Roman"/>
          <w:bCs/>
          <w:i/>
          <w:iCs/>
          <w:sz w:val="24"/>
          <w:szCs w:val="24"/>
        </w:rPr>
        <w:t>SEC Rulemaking Agenda:</w:t>
      </w:r>
    </w:p>
    <w:p w14:paraId="4A1EE4A4" w14:textId="77777777" w:rsidR="0065427D" w:rsidRPr="005F4E7F" w:rsidRDefault="00187883" w:rsidP="0065427D">
      <w:pPr>
        <w:pStyle w:val="ListParagraph"/>
        <w:keepNext/>
        <w:numPr>
          <w:ilvl w:val="0"/>
          <w:numId w:val="3"/>
        </w:numPr>
        <w:spacing w:after="0" w:line="240" w:lineRule="auto"/>
        <w:contextualSpacing w:val="0"/>
        <w:rPr>
          <w:bCs/>
          <w:szCs w:val="24"/>
        </w:rPr>
      </w:pPr>
      <w:hyperlink r:id="rId7" w:history="1">
        <w:r w:rsidR="0065427D">
          <w:rPr>
            <w:rStyle w:val="Hyperlink"/>
            <w:bCs/>
            <w:szCs w:val="24"/>
          </w:rPr>
          <w:t>SEC R</w:t>
        </w:r>
        <w:r w:rsidR="0065427D" w:rsidRPr="005F4E7F">
          <w:rPr>
            <w:rStyle w:val="Hyperlink"/>
            <w:bCs/>
            <w:szCs w:val="24"/>
          </w:rPr>
          <w:t>egulatory Flexibility Agenda – Spring 2024</w:t>
        </w:r>
      </w:hyperlink>
    </w:p>
    <w:p w14:paraId="1E363AFA" w14:textId="77777777" w:rsidR="0065427D" w:rsidRDefault="0065427D" w:rsidP="0065427D">
      <w:pPr>
        <w:keepNext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8142AB" w14:textId="77777777" w:rsidR="0065427D" w:rsidRDefault="0065427D" w:rsidP="0065427D">
      <w:pPr>
        <w:keepNext/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Fund Names Rule:</w:t>
      </w:r>
    </w:p>
    <w:p w14:paraId="76E75649" w14:textId="77777777" w:rsidR="0065427D" w:rsidRDefault="0065427D" w:rsidP="0065427D">
      <w:pPr>
        <w:keepNext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 Finalizes Rule Amendments Regarding Fund Naming Conventions (Sept. 20, 2023)</w:t>
      </w:r>
    </w:p>
    <w:p w14:paraId="23E62941" w14:textId="77777777" w:rsidR="0065427D" w:rsidRDefault="00187883" w:rsidP="0065427D">
      <w:pPr>
        <w:keepNext/>
        <w:numPr>
          <w:ilvl w:val="1"/>
          <w:numId w:val="1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65427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SEC Press Release</w:t>
        </w:r>
      </w:hyperlink>
    </w:p>
    <w:p w14:paraId="4FC96A78" w14:textId="77777777" w:rsidR="0065427D" w:rsidRDefault="00187883" w:rsidP="0065427D">
      <w:pPr>
        <w:keepNext/>
        <w:numPr>
          <w:ilvl w:val="1"/>
          <w:numId w:val="1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65427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SEC Fact Sheet</w:t>
        </w:r>
      </w:hyperlink>
    </w:p>
    <w:p w14:paraId="7D065ED9" w14:textId="77777777" w:rsidR="0065427D" w:rsidRDefault="00187883" w:rsidP="0065427D">
      <w:pPr>
        <w:keepNext/>
        <w:numPr>
          <w:ilvl w:val="1"/>
          <w:numId w:val="1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65427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SEC Adopting Release</w:t>
        </w:r>
      </w:hyperlink>
    </w:p>
    <w:p w14:paraId="7871A231" w14:textId="77777777" w:rsidR="0065427D" w:rsidRPr="005F4E7F" w:rsidRDefault="00187883" w:rsidP="0065427D">
      <w:pPr>
        <w:numPr>
          <w:ilvl w:val="1"/>
          <w:numId w:val="1"/>
        </w:numPr>
        <w:spacing w:after="0" w:line="240" w:lineRule="auto"/>
        <w:ind w:left="1080"/>
        <w:rPr>
          <w:rStyle w:val="Hyperlink"/>
          <w:rFonts w:ascii="Times New Roman" w:hAnsi="Times New Roman" w:cs="Times New Roman"/>
          <w:bCs/>
          <w:color w:val="auto"/>
          <w:sz w:val="24"/>
          <w:szCs w:val="24"/>
        </w:rPr>
      </w:pPr>
      <w:hyperlink r:id="rId11" w:history="1">
        <w:r w:rsidR="0065427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K&amp;L Gates Memo on Amendments to Fund Names Rule</w:t>
        </w:r>
      </w:hyperlink>
    </w:p>
    <w:p w14:paraId="3A681947" w14:textId="77777777" w:rsidR="0065427D" w:rsidRDefault="00187883" w:rsidP="0065427D">
      <w:pPr>
        <w:numPr>
          <w:ilvl w:val="1"/>
          <w:numId w:val="1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hyperlink r:id="rId12" w:history="1">
        <w:r w:rsidR="0065427D" w:rsidRPr="005F4E7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Vedder Price Memo on Amendments to Fund Names Rules</w:t>
        </w:r>
      </w:hyperlink>
    </w:p>
    <w:p w14:paraId="469E8CCA" w14:textId="77777777" w:rsidR="0065427D" w:rsidRDefault="0065427D" w:rsidP="0065427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8BEC9C" w14:textId="77777777" w:rsidR="0065427D" w:rsidRDefault="0065427D" w:rsidP="0065427D">
      <w:pPr>
        <w:keepNext/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Open-End Fund Liquidity Risk Management Programs:</w:t>
      </w:r>
    </w:p>
    <w:p w14:paraId="52010499" w14:textId="77777777" w:rsidR="0065427D" w:rsidRPr="008B0B9A" w:rsidRDefault="0065427D" w:rsidP="0065427D">
      <w:pPr>
        <w:pStyle w:val="ListParagraph"/>
        <w:keepNext/>
        <w:numPr>
          <w:ilvl w:val="0"/>
          <w:numId w:val="2"/>
        </w:numPr>
        <w:spacing w:after="0" w:line="240" w:lineRule="auto"/>
        <w:contextualSpacing w:val="0"/>
        <w:rPr>
          <w:bCs/>
          <w:szCs w:val="24"/>
        </w:rPr>
      </w:pPr>
      <w:r w:rsidRPr="008B0B9A">
        <w:rPr>
          <w:bCs/>
          <w:szCs w:val="24"/>
        </w:rPr>
        <w:t>SEC Issues Guidance on Open-End Fund Liquidity Risk Management Programs; Adopts Amendments to Form N–PORT and Form N–CEN Reporting (</w:t>
      </w:r>
      <w:r>
        <w:rPr>
          <w:bCs/>
          <w:szCs w:val="24"/>
        </w:rPr>
        <w:t>Aug</w:t>
      </w:r>
      <w:r w:rsidRPr="008B0B9A">
        <w:rPr>
          <w:bCs/>
          <w:szCs w:val="24"/>
        </w:rPr>
        <w:t>. 2</w:t>
      </w:r>
      <w:r>
        <w:rPr>
          <w:bCs/>
          <w:szCs w:val="24"/>
        </w:rPr>
        <w:t>8</w:t>
      </w:r>
      <w:r w:rsidRPr="008B0B9A">
        <w:rPr>
          <w:bCs/>
          <w:szCs w:val="24"/>
        </w:rPr>
        <w:t>, 202</w:t>
      </w:r>
      <w:r>
        <w:rPr>
          <w:bCs/>
          <w:szCs w:val="24"/>
        </w:rPr>
        <w:t>4</w:t>
      </w:r>
      <w:r w:rsidRPr="008B0B9A">
        <w:rPr>
          <w:bCs/>
          <w:szCs w:val="24"/>
        </w:rPr>
        <w:t>)</w:t>
      </w:r>
    </w:p>
    <w:p w14:paraId="0C1A38F4" w14:textId="77777777" w:rsidR="0065427D" w:rsidRDefault="00187883" w:rsidP="0065427D">
      <w:pPr>
        <w:pStyle w:val="ListParagraph"/>
        <w:keepNext/>
        <w:numPr>
          <w:ilvl w:val="1"/>
          <w:numId w:val="2"/>
        </w:numPr>
        <w:spacing w:after="0" w:line="240" w:lineRule="auto"/>
        <w:ind w:left="1080"/>
        <w:contextualSpacing w:val="0"/>
        <w:rPr>
          <w:rStyle w:val="Hyperlink"/>
          <w:bCs/>
          <w:color w:val="auto"/>
          <w:szCs w:val="24"/>
        </w:rPr>
      </w:pPr>
      <w:hyperlink r:id="rId13" w:history="1">
        <w:r w:rsidR="0065427D" w:rsidRPr="008B0B9A">
          <w:rPr>
            <w:rStyle w:val="Hyperlink"/>
            <w:bCs/>
            <w:szCs w:val="24"/>
          </w:rPr>
          <w:t>SEC Press Release</w:t>
        </w:r>
      </w:hyperlink>
    </w:p>
    <w:p w14:paraId="6507942C" w14:textId="77777777" w:rsidR="0065427D" w:rsidRDefault="00187883" w:rsidP="0065427D">
      <w:pPr>
        <w:pStyle w:val="ListParagraph"/>
        <w:keepNext/>
        <w:numPr>
          <w:ilvl w:val="1"/>
          <w:numId w:val="2"/>
        </w:numPr>
        <w:spacing w:after="0" w:line="240" w:lineRule="auto"/>
        <w:ind w:left="1080"/>
        <w:contextualSpacing w:val="0"/>
        <w:rPr>
          <w:rStyle w:val="Hyperlink"/>
          <w:bCs/>
          <w:color w:val="auto"/>
          <w:szCs w:val="24"/>
        </w:rPr>
      </w:pPr>
      <w:hyperlink r:id="rId14" w:history="1">
        <w:r w:rsidR="0065427D" w:rsidRPr="008B0B9A">
          <w:rPr>
            <w:rStyle w:val="Hyperlink"/>
            <w:bCs/>
            <w:szCs w:val="24"/>
          </w:rPr>
          <w:t>SEC Fact Sheet</w:t>
        </w:r>
      </w:hyperlink>
    </w:p>
    <w:p w14:paraId="6ECC4A47" w14:textId="77777777" w:rsidR="0065427D" w:rsidRDefault="00187883" w:rsidP="0065427D">
      <w:pPr>
        <w:pStyle w:val="ListParagraph"/>
        <w:keepNext/>
        <w:numPr>
          <w:ilvl w:val="1"/>
          <w:numId w:val="2"/>
        </w:numPr>
        <w:spacing w:after="0" w:line="240" w:lineRule="auto"/>
        <w:ind w:left="1080"/>
        <w:contextualSpacing w:val="0"/>
        <w:rPr>
          <w:rStyle w:val="Hyperlink"/>
          <w:bCs/>
          <w:color w:val="auto"/>
          <w:szCs w:val="24"/>
        </w:rPr>
      </w:pPr>
      <w:hyperlink r:id="rId15" w:history="1">
        <w:r w:rsidR="0065427D" w:rsidRPr="008B0B9A">
          <w:rPr>
            <w:rStyle w:val="Hyperlink"/>
            <w:bCs/>
            <w:szCs w:val="24"/>
          </w:rPr>
          <w:t>SEC Adopting Release</w:t>
        </w:r>
      </w:hyperlink>
    </w:p>
    <w:p w14:paraId="2E4A6E05" w14:textId="77777777" w:rsidR="0065427D" w:rsidRPr="000C27D9" w:rsidRDefault="00187883" w:rsidP="0065427D">
      <w:pPr>
        <w:pStyle w:val="ListParagraph"/>
        <w:numPr>
          <w:ilvl w:val="1"/>
          <w:numId w:val="2"/>
        </w:numPr>
        <w:spacing w:after="0" w:line="240" w:lineRule="auto"/>
        <w:ind w:left="1080"/>
        <w:contextualSpacing w:val="0"/>
        <w:rPr>
          <w:rStyle w:val="Hyperlink"/>
          <w:bCs/>
          <w:color w:val="auto"/>
          <w:szCs w:val="24"/>
        </w:rPr>
      </w:pPr>
      <w:hyperlink r:id="rId16" w:history="1">
        <w:r w:rsidR="0065427D" w:rsidRPr="008B0B9A">
          <w:rPr>
            <w:rStyle w:val="Hyperlink"/>
            <w:bCs/>
            <w:szCs w:val="24"/>
          </w:rPr>
          <w:t>K&amp;L Gates Memo on Amendments to Liquidity Risk Management Program Requirements</w:t>
        </w:r>
      </w:hyperlink>
    </w:p>
    <w:p w14:paraId="786B82C4" w14:textId="77777777" w:rsidR="0065427D" w:rsidRDefault="00187883" w:rsidP="0065427D">
      <w:pPr>
        <w:pStyle w:val="ListParagraph"/>
        <w:numPr>
          <w:ilvl w:val="1"/>
          <w:numId w:val="2"/>
        </w:numPr>
        <w:spacing w:after="0" w:line="240" w:lineRule="auto"/>
        <w:ind w:left="1080"/>
        <w:contextualSpacing w:val="0"/>
        <w:rPr>
          <w:bCs/>
          <w:szCs w:val="24"/>
        </w:rPr>
      </w:pPr>
      <w:hyperlink r:id="rId17" w:history="1">
        <w:r w:rsidR="0065427D" w:rsidRPr="000C27D9">
          <w:rPr>
            <w:rStyle w:val="Hyperlink"/>
            <w:bCs/>
            <w:szCs w:val="24"/>
          </w:rPr>
          <w:t>SEC’s Regulatory Flexibility Agenda – Re-Proposal of Liquidity and Dilution Management Provisions</w:t>
        </w:r>
      </w:hyperlink>
    </w:p>
    <w:p w14:paraId="4F8487F2" w14:textId="77777777" w:rsidR="0065427D" w:rsidRDefault="0065427D" w:rsidP="0065427D">
      <w:pPr>
        <w:keepNext/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</w:p>
    <w:p w14:paraId="2A603ABD" w14:textId="77777777" w:rsidR="0065427D" w:rsidRDefault="0065427D" w:rsidP="0065427D">
      <w:pPr>
        <w:keepNext/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ETF Share Class Exemptive Applications:</w:t>
      </w:r>
    </w:p>
    <w:p w14:paraId="48BA26BF" w14:textId="77777777" w:rsidR="0065427D" w:rsidRDefault="0065427D" w:rsidP="0065427D">
      <w:pPr>
        <w:keepNext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Registrants Seek Exemptions for Traditional Open-End Funds to Issue ETF Share Classes</w:t>
      </w:r>
    </w:p>
    <w:p w14:paraId="286D4F2B" w14:textId="77777777" w:rsidR="0065427D" w:rsidRDefault="00187883" w:rsidP="0065427D">
      <w:pPr>
        <w:keepNext/>
        <w:numPr>
          <w:ilvl w:val="1"/>
          <w:numId w:val="2"/>
        </w:num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hyperlink r:id="rId18" w:history="1">
        <w:r w:rsidR="0065427D" w:rsidRPr="00B52952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SEC Adopting Release for Rule 6c-11 (</w:t>
        </w:r>
        <w:r w:rsidR="0065427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discussing ETF share class</w:t>
        </w:r>
        <w:r w:rsidR="0065427D" w:rsidRPr="00B52952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 xml:space="preserve"> relief)</w:t>
        </w:r>
      </w:hyperlink>
    </w:p>
    <w:p w14:paraId="0483000A" w14:textId="77777777" w:rsidR="0065427D" w:rsidRDefault="00187883" w:rsidP="0065427D">
      <w:pPr>
        <w:numPr>
          <w:ilvl w:val="1"/>
          <w:numId w:val="2"/>
        </w:numPr>
        <w:spacing w:after="0" w:line="240" w:lineRule="auto"/>
        <w:ind w:left="1080"/>
        <w:rPr>
          <w:rStyle w:val="Hyperlink"/>
          <w:rFonts w:ascii="Times New Roman" w:hAnsi="Times New Roman" w:cs="Times New Roman"/>
          <w:bCs/>
          <w:color w:val="auto"/>
          <w:sz w:val="24"/>
          <w:szCs w:val="24"/>
        </w:rPr>
      </w:pPr>
      <w:hyperlink r:id="rId19" w:history="1">
        <w:r w:rsidR="0065427D" w:rsidRPr="00B8005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 xml:space="preserve">Sample Exemptive Application Seeking </w:t>
        </w:r>
        <w:r w:rsidR="0065427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 xml:space="preserve">ETF Share Class </w:t>
        </w:r>
        <w:r w:rsidR="0065427D" w:rsidRPr="00B8005D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Relief</w:t>
        </w:r>
      </w:hyperlink>
    </w:p>
    <w:p w14:paraId="30A523D3" w14:textId="77777777" w:rsidR="0065427D" w:rsidRDefault="0065427D" w:rsidP="0065427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A5C253A" w14:textId="77777777" w:rsidR="0065427D" w:rsidRDefault="0065427D" w:rsidP="0065427D">
      <w:pPr>
        <w:keepNext/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Digital Asset Product Developments for Registered Funds and ETFs:</w:t>
      </w:r>
    </w:p>
    <w:p w14:paraId="4C0CF82A" w14:textId="77777777" w:rsidR="0065427D" w:rsidRDefault="0065427D" w:rsidP="0065427D">
      <w:pPr>
        <w:pStyle w:val="ListParagraph"/>
        <w:keepNext/>
        <w:numPr>
          <w:ilvl w:val="0"/>
          <w:numId w:val="2"/>
        </w:numPr>
        <w:spacing w:after="0" w:line="240" w:lineRule="auto"/>
        <w:contextualSpacing w:val="0"/>
      </w:pPr>
      <w:r>
        <w:t>Developments with Digital Asset ETFs</w:t>
      </w:r>
    </w:p>
    <w:p w14:paraId="289931C9" w14:textId="77777777" w:rsidR="0065427D" w:rsidRDefault="00187883" w:rsidP="0065427D">
      <w:pPr>
        <w:pStyle w:val="ListParagraph"/>
        <w:keepNext/>
        <w:numPr>
          <w:ilvl w:val="1"/>
          <w:numId w:val="2"/>
        </w:numPr>
        <w:spacing w:after="0" w:line="240" w:lineRule="auto"/>
        <w:ind w:left="1080"/>
        <w:contextualSpacing w:val="0"/>
      </w:pPr>
      <w:hyperlink r:id="rId20" w:history="1">
        <w:r w:rsidR="0065427D" w:rsidRPr="00FA62B1">
          <w:rPr>
            <w:rStyle w:val="Hyperlink"/>
            <w:i/>
          </w:rPr>
          <w:t xml:space="preserve">Grayscale </w:t>
        </w:r>
        <w:proofErr w:type="spellStart"/>
        <w:r w:rsidR="0065427D" w:rsidRPr="00FA62B1">
          <w:rPr>
            <w:rStyle w:val="Hyperlink"/>
            <w:i/>
          </w:rPr>
          <w:t>Invs</w:t>
        </w:r>
        <w:proofErr w:type="spellEnd"/>
        <w:r w:rsidR="0065427D" w:rsidRPr="00FA62B1">
          <w:rPr>
            <w:rStyle w:val="Hyperlink"/>
            <w:i/>
          </w:rPr>
          <w:t>., LLC v. SEC</w:t>
        </w:r>
        <w:r w:rsidR="0065427D" w:rsidRPr="00FA62B1">
          <w:rPr>
            <w:rStyle w:val="Hyperlink"/>
          </w:rPr>
          <w:t>, No. 22-1142 (D.C. Cir. 2023</w:t>
        </w:r>
        <w:r w:rsidR="0065427D">
          <w:rPr>
            <w:rStyle w:val="Hyperlink"/>
          </w:rPr>
          <w:t>) (vacating SEC order denying proposed rule change by NYSE Arca to list and trade shares of Grayscale Bitcoin ETF</w:t>
        </w:r>
        <w:r w:rsidR="0065427D" w:rsidRPr="00FA62B1">
          <w:rPr>
            <w:rStyle w:val="Hyperlink"/>
          </w:rPr>
          <w:t>)</w:t>
        </w:r>
      </w:hyperlink>
    </w:p>
    <w:p w14:paraId="1817AD49" w14:textId="77777777" w:rsidR="0065427D" w:rsidRDefault="00187883" w:rsidP="0065427D">
      <w:pPr>
        <w:pStyle w:val="ListParagraph"/>
        <w:keepNext/>
        <w:numPr>
          <w:ilvl w:val="1"/>
          <w:numId w:val="2"/>
        </w:numPr>
        <w:spacing w:after="0" w:line="240" w:lineRule="auto"/>
        <w:ind w:left="1080"/>
        <w:contextualSpacing w:val="0"/>
      </w:pPr>
      <w:hyperlink r:id="rId21" w:history="1">
        <w:r w:rsidR="0065427D" w:rsidRPr="00FA62B1">
          <w:rPr>
            <w:rStyle w:val="Hyperlink"/>
          </w:rPr>
          <w:t>SEC Chair Statement on the Approval of Spot Bitcoin Exchange-Traded Products (Jan. 10, 2024)</w:t>
        </w:r>
      </w:hyperlink>
    </w:p>
    <w:p w14:paraId="5F5F8503" w14:textId="77777777" w:rsidR="0065427D" w:rsidRPr="00FA62B1" w:rsidRDefault="00187883" w:rsidP="0065427D">
      <w:pPr>
        <w:pStyle w:val="ListParagraph"/>
        <w:keepNext/>
        <w:numPr>
          <w:ilvl w:val="1"/>
          <w:numId w:val="2"/>
        </w:numPr>
        <w:spacing w:after="0" w:line="240" w:lineRule="auto"/>
        <w:ind w:left="1080"/>
        <w:contextualSpacing w:val="0"/>
      </w:pPr>
      <w:hyperlink r:id="rId22" w:history="1">
        <w:r w:rsidR="0065427D" w:rsidRPr="00BF3C02">
          <w:rPr>
            <w:rStyle w:val="Hyperlink"/>
          </w:rPr>
          <w:t>SEC Approves Exchange Applications to List Spot Ether ETFs (Reuters) (May 23, 2024)</w:t>
        </w:r>
      </w:hyperlink>
    </w:p>
    <w:p w14:paraId="6E7EA678" w14:textId="77777777" w:rsidR="0065427D" w:rsidRDefault="0065427D" w:rsidP="0065427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BC53665" w14:textId="77777777" w:rsidR="0065427D" w:rsidRPr="00BF3C02" w:rsidRDefault="0065427D" w:rsidP="0065427D">
      <w:pPr>
        <w:keepNext/>
        <w:spacing w:after="0" w:line="240" w:lineRule="auto"/>
        <w:ind w:left="360"/>
      </w:pPr>
      <w:r w:rsidRPr="00BF3C02">
        <w:rPr>
          <w:rFonts w:ascii="Times New Roman" w:hAnsi="Times New Roman" w:cs="Times New Roman"/>
          <w:bCs/>
          <w:i/>
          <w:sz w:val="24"/>
          <w:szCs w:val="24"/>
        </w:rPr>
        <w:t>Retail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Access to</w:t>
      </w:r>
      <w:r w:rsidRPr="00BF3C02">
        <w:rPr>
          <w:rFonts w:ascii="Times New Roman" w:hAnsi="Times New Roman" w:cs="Times New Roman"/>
          <w:bCs/>
          <w:i/>
          <w:sz w:val="24"/>
          <w:szCs w:val="24"/>
        </w:rPr>
        <w:t xml:space="preserve"> Alternative </w:t>
      </w:r>
      <w:r>
        <w:rPr>
          <w:rFonts w:ascii="Times New Roman" w:hAnsi="Times New Roman" w:cs="Times New Roman"/>
          <w:bCs/>
          <w:i/>
          <w:sz w:val="24"/>
          <w:szCs w:val="24"/>
        </w:rPr>
        <w:t>Investments</w:t>
      </w:r>
      <w:r w:rsidRPr="00BF3C02">
        <w:rPr>
          <w:rFonts w:ascii="Times New Roman" w:hAnsi="Times New Roman" w:cs="Times New Roman"/>
          <w:bCs/>
          <w:i/>
          <w:sz w:val="24"/>
          <w:szCs w:val="24"/>
        </w:rPr>
        <w:t>: Growth of Interval Funds and Tender Offer Funds</w:t>
      </w:r>
    </w:p>
    <w:p w14:paraId="27C46A47" w14:textId="77777777" w:rsidR="0065427D" w:rsidRDefault="00187883" w:rsidP="0065427D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bCs/>
          <w:szCs w:val="24"/>
        </w:rPr>
      </w:pPr>
      <w:hyperlink r:id="rId23" w:history="1">
        <w:r w:rsidR="0065427D" w:rsidRPr="00BF3C02">
          <w:rPr>
            <w:rStyle w:val="Hyperlink"/>
            <w:bCs/>
            <w:szCs w:val="24"/>
          </w:rPr>
          <w:t>Investment Company Institute’s Investment Company Fact Book 2024</w:t>
        </w:r>
      </w:hyperlink>
    </w:p>
    <w:p w14:paraId="001D79B2" w14:textId="116EA3BC" w:rsidR="00957630" w:rsidRPr="00187883" w:rsidRDefault="00187883" w:rsidP="0018788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bCs/>
          <w:szCs w:val="24"/>
        </w:rPr>
      </w:pPr>
      <w:hyperlink r:id="rId24" w:anchor="page=17" w:history="1">
        <w:r w:rsidR="0065427D" w:rsidRPr="008D3686">
          <w:rPr>
            <w:rStyle w:val="Hyperlink"/>
            <w:bCs/>
            <w:szCs w:val="24"/>
          </w:rPr>
          <w:t>SEC Adopting Release for Rule 23c-3 (April 7, 1993), 58 FR 19343 (April 14, 1993)</w:t>
        </w:r>
      </w:hyperlink>
    </w:p>
    <w:sectPr w:rsidR="00957630" w:rsidRPr="00187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B8FD5" w14:textId="77777777" w:rsidR="00313DA6" w:rsidRDefault="00313DA6" w:rsidP="00313DA6">
      <w:pPr>
        <w:spacing w:after="0" w:line="240" w:lineRule="auto"/>
      </w:pPr>
      <w:r>
        <w:separator/>
      </w:r>
    </w:p>
  </w:endnote>
  <w:endnote w:type="continuationSeparator" w:id="0">
    <w:p w14:paraId="299A6193" w14:textId="77777777" w:rsidR="00313DA6" w:rsidRDefault="00313DA6" w:rsidP="0031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7A457" w14:textId="77777777" w:rsidR="00313DA6" w:rsidRDefault="00313DA6" w:rsidP="00313DA6">
      <w:pPr>
        <w:spacing w:after="0" w:line="240" w:lineRule="auto"/>
      </w:pPr>
      <w:r>
        <w:separator/>
      </w:r>
    </w:p>
  </w:footnote>
  <w:footnote w:type="continuationSeparator" w:id="0">
    <w:p w14:paraId="0BBA1BCA" w14:textId="77777777" w:rsidR="00313DA6" w:rsidRDefault="00313DA6" w:rsidP="00313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70E8E"/>
    <w:multiLevelType w:val="hybridMultilevel"/>
    <w:tmpl w:val="7504B156"/>
    <w:lvl w:ilvl="0" w:tplc="D8CA4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BD65C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30AE9"/>
    <w:multiLevelType w:val="hybridMultilevel"/>
    <w:tmpl w:val="8CAE7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9648D"/>
    <w:multiLevelType w:val="hybridMultilevel"/>
    <w:tmpl w:val="B69E5636"/>
    <w:lvl w:ilvl="0" w:tplc="235E41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7158892">
    <w:abstractNumId w:val="2"/>
  </w:num>
  <w:num w:numId="2" w16cid:durableId="1181777878">
    <w:abstractNumId w:val="0"/>
  </w:num>
  <w:num w:numId="3" w16cid:durableId="1755471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7D"/>
    <w:rsid w:val="000B7A13"/>
    <w:rsid w:val="00136746"/>
    <w:rsid w:val="00187883"/>
    <w:rsid w:val="00294655"/>
    <w:rsid w:val="00313DA6"/>
    <w:rsid w:val="005342CF"/>
    <w:rsid w:val="00616270"/>
    <w:rsid w:val="0062088C"/>
    <w:rsid w:val="0065427D"/>
    <w:rsid w:val="007552A2"/>
    <w:rsid w:val="00774E2A"/>
    <w:rsid w:val="0084693C"/>
    <w:rsid w:val="00895B5A"/>
    <w:rsid w:val="00957630"/>
    <w:rsid w:val="0099220F"/>
    <w:rsid w:val="00AB1FA3"/>
    <w:rsid w:val="00AE2ABC"/>
    <w:rsid w:val="00B9454D"/>
    <w:rsid w:val="00BE0A1C"/>
    <w:rsid w:val="00C43FC3"/>
    <w:rsid w:val="00C5389E"/>
    <w:rsid w:val="00CB41E6"/>
    <w:rsid w:val="00CE17D0"/>
    <w:rsid w:val="00E06DF4"/>
    <w:rsid w:val="00E2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D3720"/>
  <w15:chartTrackingRefBased/>
  <w15:docId w15:val="{6754027E-50C6-4AEC-907E-DECDD684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27D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2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42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42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2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2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2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2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2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2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2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42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42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2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2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2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2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2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42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4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2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4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4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42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42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42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2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427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5427D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DA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1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DA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gov/news/press-release/2023-188" TargetMode="External"/><Relationship Id="rId13" Type="http://schemas.openxmlformats.org/officeDocument/2006/relationships/hyperlink" Target="https://www.sec.gov/newsroom/press-releases/2024-110" TargetMode="External"/><Relationship Id="rId18" Type="http://schemas.openxmlformats.org/officeDocument/2006/relationships/hyperlink" Target="https://www.federalregister.gov/documents/2019/10/24/2019-21250/exchange-traded-funds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Statement%20on%20the%20Approval%20of%20Spot%20Bitcoin%20Exchange-Traded%20Products" TargetMode="External"/><Relationship Id="rId7" Type="http://schemas.openxmlformats.org/officeDocument/2006/relationships/hyperlink" Target="https://www.reginfo.gov/public/do/eAgendaMain?operation=OPERATION_GET_AGENCY_RULE_LIST&amp;currentPub=true&amp;agencyCode&amp;showStage=active&amp;agencyCd=3235" TargetMode="External"/><Relationship Id="rId12" Type="http://schemas.openxmlformats.org/officeDocument/2006/relationships/hyperlink" Target="https://www.vedderprice.com/sec-adopts-amendments-to-fund-names-rule-broadening-the-scope-of-funds-that-must-comply" TargetMode="External"/><Relationship Id="rId17" Type="http://schemas.openxmlformats.org/officeDocument/2006/relationships/hyperlink" Target="https://www.reginfo.gov/public/do/eAgendaViewRule?pubId=202404&amp;RIN=3235-AM9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klgates.com/Checked-SwingSEC-Does-Not-Adopt-Swing-Pricing-or-a-Hard-Close-for-Now-but-Only-Provides-Liquidity-Guidance-and-Amendments-to-Forms-N-Port-and-N-Cen-9-11-2024" TargetMode="External"/><Relationship Id="rId20" Type="http://schemas.openxmlformats.org/officeDocument/2006/relationships/hyperlink" Target="https://www.cadc.uscourts.gov/internet/opinions.nsf/32C91E3A96E9442285258A1A004FD576/%24file/22-1142-2014527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lgates.com/Whats-in-a-Fund-Name-SEC-Approves-Changes-to-the-Fund-Names-Rule-9-26-2023" TargetMode="External"/><Relationship Id="rId24" Type="http://schemas.openxmlformats.org/officeDocument/2006/relationships/hyperlink" Target="https://archives.federalregister.gov/issue_slice/1993/4/14/19327-19347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ederalregister.gov/documents/2024/09/11/2024-19819/form-n-port-and-form-n-cen-reporting-guidance-on-open-end-fund-liquidity-risk-management-programs" TargetMode="External"/><Relationship Id="rId23" Type="http://schemas.openxmlformats.org/officeDocument/2006/relationships/hyperlink" Target="https://www.ici.org/system/files/2024-05/2024-factbook.pdf" TargetMode="External"/><Relationship Id="rId10" Type="http://schemas.openxmlformats.org/officeDocument/2006/relationships/hyperlink" Target="https://www.sec.gov/files/rules/final/2023/33-11238.pdf" TargetMode="External"/><Relationship Id="rId19" Type="http://schemas.openxmlformats.org/officeDocument/2006/relationships/hyperlink" Target="https://www.sec.gov/Archives/edgar/data/44402/000089843224000391/form40-ap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c.gov/files/33-11238-fact-sheet.pdf" TargetMode="External"/><Relationship Id="rId14" Type="http://schemas.openxmlformats.org/officeDocument/2006/relationships/hyperlink" Target="https://www.sec.gov/files/ic-35308-fact-sheet.pdf" TargetMode="External"/><Relationship Id="rId22" Type="http://schemas.openxmlformats.org/officeDocument/2006/relationships/hyperlink" Target="https://www.reuters.com/technology/us-sec-approves-exchange-applications-list-spot-ether-etfs-2024-05-2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3244</Characters>
  <Application>Microsoft Office Word</Application>
  <DocSecurity>0</DocSecurity>
  <Lines>27</Lines>
  <Paragraphs>7</Paragraphs>
  <ScaleCrop>false</ScaleCrop>
  <Company>Dechert LLP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etyeryar</dc:creator>
  <cp:keywords/>
  <dc:description/>
  <cp:lastModifiedBy>etyeryar</cp:lastModifiedBy>
  <cp:revision>4</cp:revision>
  <dcterms:created xsi:type="dcterms:W3CDTF">2024-10-03T20:55:00Z</dcterms:created>
  <dcterms:modified xsi:type="dcterms:W3CDTF">2024-10-03T21:06:00Z</dcterms:modified>
</cp:coreProperties>
</file>