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CF6E3" w14:textId="77777777" w:rsidR="00956F31" w:rsidRDefault="00956F31">
      <w:pPr>
        <w:rPr>
          <w:b/>
          <w:color w:val="333333"/>
          <w:szCs w:val="24"/>
          <w:u w:val="single"/>
        </w:rPr>
      </w:pPr>
    </w:p>
    <w:p w14:paraId="469CF6E4" w14:textId="77777777" w:rsidR="00956F31" w:rsidRDefault="00F93510">
      <w:pPr>
        <w:jc w:val="center"/>
        <w:rPr>
          <w:b/>
          <w:bCs/>
          <w:color w:val="000000" w:themeColor="text1"/>
          <w:szCs w:val="24"/>
        </w:rPr>
      </w:pPr>
      <w:r>
        <w:rPr>
          <w:b/>
          <w:bCs/>
          <w:color w:val="000000" w:themeColor="text1"/>
          <w:szCs w:val="24"/>
        </w:rPr>
        <w:t>The Catholic University of America</w:t>
      </w:r>
    </w:p>
    <w:p w14:paraId="469CF6E5" w14:textId="77777777" w:rsidR="00956F31" w:rsidRDefault="00F93510">
      <w:pPr>
        <w:jc w:val="center"/>
        <w:rPr>
          <w:b/>
          <w:bCs/>
          <w:color w:val="000000" w:themeColor="text1"/>
          <w:szCs w:val="24"/>
        </w:rPr>
      </w:pPr>
      <w:r>
        <w:rPr>
          <w:b/>
          <w:bCs/>
          <w:color w:val="000000" w:themeColor="text1"/>
          <w:szCs w:val="24"/>
        </w:rPr>
        <w:t>Columbus School of Law</w:t>
      </w:r>
    </w:p>
    <w:p w14:paraId="469CF6E6" w14:textId="77777777" w:rsidR="00956F31" w:rsidRDefault="00F93510">
      <w:pPr>
        <w:jc w:val="center"/>
        <w:rPr>
          <w:b/>
          <w:bCs/>
          <w:color w:val="000000" w:themeColor="text1"/>
          <w:szCs w:val="24"/>
        </w:rPr>
      </w:pPr>
      <w:r>
        <w:rPr>
          <w:b/>
          <w:bCs/>
          <w:color w:val="000000" w:themeColor="text1"/>
          <w:szCs w:val="24"/>
        </w:rPr>
        <w:t>Conference on Developments in the Regulation of Financial Products</w:t>
      </w:r>
    </w:p>
    <w:p w14:paraId="469CF6E7" w14:textId="77777777" w:rsidR="00956F31" w:rsidRDefault="00F93510">
      <w:pPr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September 29, 2023</w:t>
      </w:r>
    </w:p>
    <w:p w14:paraId="469CF6E8" w14:textId="77777777" w:rsidR="00956F31" w:rsidRDefault="00F93510">
      <w:pPr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9:00 am – 5:00 pm ET</w:t>
      </w:r>
    </w:p>
    <w:p w14:paraId="469CF6E9" w14:textId="77777777" w:rsidR="00956F31" w:rsidRDefault="00956F31">
      <w:pPr>
        <w:jc w:val="center"/>
        <w:rPr>
          <w:b/>
          <w:bCs/>
          <w:color w:val="000000" w:themeColor="text1"/>
          <w:szCs w:val="24"/>
        </w:rPr>
      </w:pPr>
    </w:p>
    <w:p w14:paraId="58486BBA" w14:textId="77777777" w:rsidR="00240026" w:rsidRDefault="00240026">
      <w:pPr>
        <w:rPr>
          <w:b/>
          <w:bCs/>
          <w:color w:val="000000" w:themeColor="text1"/>
          <w:szCs w:val="24"/>
          <w:u w:val="single"/>
        </w:rPr>
      </w:pPr>
      <w:r w:rsidRPr="00240026">
        <w:rPr>
          <w:b/>
          <w:bCs/>
          <w:color w:val="000000" w:themeColor="text1"/>
          <w:szCs w:val="24"/>
          <w:u w:val="single"/>
        </w:rPr>
        <w:t>Registered Funds and ETFs</w:t>
      </w:r>
    </w:p>
    <w:p w14:paraId="469CF6EB" w14:textId="6917FCC1" w:rsidR="00956F31" w:rsidRDefault="00F93510">
      <w:pPr>
        <w:rPr>
          <w:bCs/>
          <w:color w:val="000000" w:themeColor="text1"/>
          <w:szCs w:val="24"/>
        </w:rPr>
      </w:pPr>
      <w:r>
        <w:rPr>
          <w:bCs/>
          <w:color w:val="000000" w:themeColor="text1"/>
          <w:szCs w:val="24"/>
        </w:rPr>
        <w:t>10:45 a.m. – 12:00 p.m.</w:t>
      </w:r>
    </w:p>
    <w:p w14:paraId="469CF6EC" w14:textId="77777777" w:rsidR="00956F31" w:rsidRDefault="00956F31">
      <w:pPr>
        <w:rPr>
          <w:bCs/>
          <w:color w:val="000000" w:themeColor="text1"/>
          <w:szCs w:val="24"/>
        </w:rPr>
      </w:pPr>
    </w:p>
    <w:p w14:paraId="469CF6ED" w14:textId="77777777" w:rsidR="00956F31" w:rsidRDefault="00F93510">
      <w:pPr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Panelists</w:t>
      </w:r>
    </w:p>
    <w:p w14:paraId="469CF6EE" w14:textId="77777777" w:rsidR="00956F31" w:rsidRDefault="00F93510">
      <w:pPr>
        <w:pStyle w:val="ListParagraph"/>
        <w:numPr>
          <w:ilvl w:val="0"/>
          <w:numId w:val="24"/>
        </w:numPr>
        <w:rPr>
          <w:bCs/>
          <w:color w:val="000000" w:themeColor="text1"/>
        </w:rPr>
      </w:pPr>
      <w:r>
        <w:rPr>
          <w:color w:val="000000" w:themeColor="text1"/>
        </w:rPr>
        <w:t>Moderator: Mark Amorosi ‘94, Partner, Practice Area Leader – Asset Management and Investment Funds, K&amp;L Gates</w:t>
      </w:r>
    </w:p>
    <w:p w14:paraId="469CF6EF" w14:textId="77777777" w:rsidR="00956F31" w:rsidRDefault="00F93510">
      <w:pPr>
        <w:pStyle w:val="ListParagraph"/>
        <w:numPr>
          <w:ilvl w:val="0"/>
          <w:numId w:val="24"/>
        </w:numPr>
        <w:rPr>
          <w:bCs/>
          <w:color w:val="000000" w:themeColor="text1"/>
        </w:rPr>
      </w:pPr>
      <w:r>
        <w:rPr>
          <w:color w:val="000000" w:themeColor="text1"/>
        </w:rPr>
        <w:t>Thoreau Bartmann, Co-Chief Counsel, Division of Investment Management, U.S. Securities and Exchange Commission; Adjunct Professor – Mutual Funds &amp; Investment Advisers</w:t>
      </w:r>
    </w:p>
    <w:p w14:paraId="469CF6F0" w14:textId="77777777" w:rsidR="00956F31" w:rsidRDefault="00F93510">
      <w:pPr>
        <w:pStyle w:val="ListParagraph"/>
        <w:numPr>
          <w:ilvl w:val="0"/>
          <w:numId w:val="24"/>
        </w:numPr>
        <w:rPr>
          <w:bCs/>
          <w:color w:val="000000" w:themeColor="text1"/>
        </w:rPr>
      </w:pPr>
      <w:r>
        <w:rPr>
          <w:bCs/>
          <w:color w:val="000000" w:themeColor="text1"/>
        </w:rPr>
        <w:t>Amy Pershkow ‘99, Partner, Vedder Price LLP</w:t>
      </w:r>
    </w:p>
    <w:p w14:paraId="469CF6F1" w14:textId="77777777" w:rsidR="00956F31" w:rsidRDefault="00F93510">
      <w:pPr>
        <w:pStyle w:val="ListParagraph"/>
        <w:numPr>
          <w:ilvl w:val="0"/>
          <w:numId w:val="24"/>
        </w:numPr>
        <w:rPr>
          <w:bCs/>
          <w:color w:val="000000" w:themeColor="text1"/>
        </w:rPr>
      </w:pPr>
      <w:r>
        <w:rPr>
          <w:bCs/>
          <w:color w:val="000000" w:themeColor="text1"/>
        </w:rPr>
        <w:t>Matthew Thornton, Associate General Counsel, Investment Company Institute</w:t>
      </w:r>
    </w:p>
    <w:p w14:paraId="469CF6F2" w14:textId="77777777" w:rsidR="00956F31" w:rsidRDefault="00F93510">
      <w:pPr>
        <w:pStyle w:val="ListParagraph"/>
        <w:numPr>
          <w:ilvl w:val="0"/>
          <w:numId w:val="24"/>
        </w:numPr>
        <w:rPr>
          <w:b/>
          <w:color w:val="000000" w:themeColor="text1"/>
          <w:szCs w:val="24"/>
        </w:rPr>
      </w:pPr>
      <w:r>
        <w:rPr>
          <w:color w:val="000000" w:themeColor="text1"/>
        </w:rPr>
        <w:t>Giezi Rios, Securities Law Program, Class of 2024</w:t>
      </w:r>
    </w:p>
    <w:p w14:paraId="469CF6F3" w14:textId="77777777" w:rsidR="00956F31" w:rsidRDefault="00956F31">
      <w:pPr>
        <w:ind w:left="360"/>
        <w:rPr>
          <w:b/>
          <w:color w:val="000000" w:themeColor="text1"/>
          <w:szCs w:val="24"/>
        </w:rPr>
      </w:pPr>
    </w:p>
    <w:p w14:paraId="469CF6F4" w14:textId="77777777" w:rsidR="00956F31" w:rsidRDefault="00F93510">
      <w:pPr>
        <w:rPr>
          <w:bCs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Program Description</w:t>
      </w:r>
      <w:r>
        <w:rPr>
          <w:bCs/>
          <w:color w:val="000000" w:themeColor="text1"/>
          <w:szCs w:val="24"/>
        </w:rPr>
        <w:t>: The objective of this panel is to review significant regulatory and product developments affecting registered funds and exchange-traded funds, including new SEC rules that are scheduled to take effect and proposed rules that are expected to be adopted by the SEC in the near future.</w:t>
      </w:r>
    </w:p>
    <w:p w14:paraId="469CF6F5" w14:textId="77777777" w:rsidR="00956F31" w:rsidRDefault="00956F31">
      <w:pPr>
        <w:rPr>
          <w:b/>
          <w:bCs/>
          <w:color w:val="000000" w:themeColor="text1"/>
          <w:szCs w:val="24"/>
        </w:rPr>
      </w:pPr>
    </w:p>
    <w:p w14:paraId="469CF6F6" w14:textId="77777777" w:rsidR="00956F31" w:rsidRDefault="00F93510">
      <w:pPr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Cs w:val="24"/>
        </w:rPr>
        <w:t>Agenda:</w:t>
      </w:r>
    </w:p>
    <w:tbl>
      <w:tblPr>
        <w:tblW w:w="81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5310"/>
      </w:tblGrid>
      <w:tr w:rsidR="00956F31" w14:paraId="469CF6F9" w14:textId="77777777">
        <w:trPr>
          <w:trHeight w:val="665"/>
        </w:trPr>
        <w:tc>
          <w:tcPr>
            <w:tcW w:w="2805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CF6F7" w14:textId="77777777" w:rsidR="00956F31" w:rsidRDefault="00F9351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Time</w:t>
            </w:r>
          </w:p>
        </w:tc>
        <w:tc>
          <w:tcPr>
            <w:tcW w:w="531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CF6F8" w14:textId="77777777" w:rsidR="00956F31" w:rsidRDefault="00F93510">
            <w:pPr>
              <w:ind w:left="-198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Segment</w:t>
            </w:r>
          </w:p>
        </w:tc>
      </w:tr>
      <w:tr w:rsidR="00956F31" w14:paraId="469CF6FC" w14:textId="77777777">
        <w:trPr>
          <w:trHeight w:val="499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6FA" w14:textId="77777777" w:rsidR="00956F31" w:rsidRDefault="00F9351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10:45 – 10:55 am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6FB" w14:textId="77777777" w:rsidR="00956F31" w:rsidRDefault="00F93510">
            <w:pPr>
              <w:spacing w:after="24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Panel Introductions and Background on SEC Agenda Impacting Registered Funds and Exchange-Traded Funds</w:t>
            </w:r>
          </w:p>
        </w:tc>
      </w:tr>
      <w:tr w:rsidR="00956F31" w14:paraId="469CF6FF" w14:textId="77777777">
        <w:trPr>
          <w:trHeight w:val="483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6FD" w14:textId="77777777" w:rsidR="00956F31" w:rsidRDefault="00F9351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10:55 – 11:10 am 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6FE" w14:textId="77777777" w:rsidR="00956F31" w:rsidRDefault="00F93510">
            <w:pPr>
              <w:spacing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ESG Developments: Proposed Enhanced Disclosures by Certain Investment Advisers and Funds about ESG Investment Practices and Proposed Rule Amendments Regarding Fund Naming Conventions</w:t>
            </w:r>
          </w:p>
        </w:tc>
      </w:tr>
      <w:tr w:rsidR="00956F31" w14:paraId="469CF702" w14:textId="77777777">
        <w:trPr>
          <w:trHeight w:val="483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0" w14:textId="77777777" w:rsidR="00956F31" w:rsidRDefault="00F9351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11:10 – 11:20 am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1" w14:textId="77777777" w:rsidR="00956F31" w:rsidRDefault="00F93510">
            <w:pPr>
              <w:spacing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Digital Asset Product Developments for Registered Funds and ETFs</w:t>
            </w:r>
          </w:p>
        </w:tc>
      </w:tr>
      <w:tr w:rsidR="00956F31" w14:paraId="469CF705" w14:textId="77777777">
        <w:trPr>
          <w:trHeight w:val="483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3" w14:textId="77777777" w:rsidR="00956F31" w:rsidRDefault="00F9351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11:20 – 11:30 am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4" w14:textId="77777777" w:rsidR="00956F31" w:rsidRDefault="00F93510">
            <w:pPr>
              <w:spacing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Money Market Fund Developments: SEC Adopts Another Round of MMF Reforms</w:t>
            </w:r>
          </w:p>
        </w:tc>
      </w:tr>
      <w:tr w:rsidR="00956F31" w14:paraId="469CF708" w14:textId="77777777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6" w14:textId="77777777" w:rsidR="00956F31" w:rsidRDefault="00F9351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11:30 – 11:40 am 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7" w14:textId="77777777" w:rsidR="00956F31" w:rsidRDefault="00F93510">
            <w:pPr>
              <w:spacing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Evaluating the SEC’s Liquidity, Swing Pricing and Hard Close Proposal — Potential Final Rule in 2023</w:t>
            </w:r>
          </w:p>
        </w:tc>
      </w:tr>
      <w:tr w:rsidR="00956F31" w14:paraId="469CF70B" w14:textId="77777777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9" w14:textId="77777777" w:rsidR="00956F31" w:rsidRDefault="00F9351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11:40 – 11:50 am 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A" w14:textId="77777777" w:rsidR="00956F31" w:rsidRDefault="00F93510">
            <w:pPr>
              <w:spacing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Fund Disclosure Developments: Implementing the SEC’s New Tailored Shareholder Report Requirements</w:t>
            </w:r>
          </w:p>
        </w:tc>
      </w:tr>
      <w:tr w:rsidR="00956F31" w14:paraId="469CF710" w14:textId="77777777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C" w14:textId="77777777" w:rsidR="00956F31" w:rsidRDefault="00F9351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11:50 – 12:00 pm 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F70D" w14:textId="77777777" w:rsidR="00956F31" w:rsidRDefault="00F93510">
            <w:pPr>
              <w:spacing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Other Developments: </w:t>
            </w:r>
          </w:p>
          <w:p w14:paraId="469CF70E" w14:textId="77777777" w:rsidR="00956F31" w:rsidRDefault="00F93510">
            <w:pPr>
              <w:pStyle w:val="ListParagraph"/>
              <w:numPr>
                <w:ilvl w:val="0"/>
                <w:numId w:val="33"/>
              </w:numPr>
              <w:spacing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MiFID II No-Action Letter Expiration</w:t>
            </w:r>
          </w:p>
          <w:p w14:paraId="469CF70F" w14:textId="77777777" w:rsidR="00956F31" w:rsidRDefault="00F93510">
            <w:pPr>
              <w:pStyle w:val="ListParagraph"/>
              <w:numPr>
                <w:ilvl w:val="0"/>
                <w:numId w:val="33"/>
              </w:numPr>
              <w:spacing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Developments Involving Section 9 Disqualifications for Registered Fund Service Providers</w:t>
            </w:r>
          </w:p>
        </w:tc>
      </w:tr>
    </w:tbl>
    <w:p w14:paraId="469CF711" w14:textId="77777777" w:rsidR="00956F31" w:rsidRDefault="00956F31">
      <w:pPr>
        <w:spacing w:before="120" w:after="120"/>
        <w:rPr>
          <w:color w:val="000000" w:themeColor="text1"/>
          <w:sz w:val="22"/>
          <w:szCs w:val="22"/>
          <w:u w:val="single"/>
        </w:rPr>
      </w:pPr>
    </w:p>
    <w:p w14:paraId="469CF712" w14:textId="77777777" w:rsidR="00956F31" w:rsidRDefault="00F93510">
      <w:pPr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Resource Materials (click links to access):</w:t>
      </w:r>
    </w:p>
    <w:p w14:paraId="469CF713" w14:textId="77777777" w:rsidR="00956F31" w:rsidRDefault="00956F31">
      <w:pPr>
        <w:rPr>
          <w:b/>
          <w:color w:val="000000" w:themeColor="text1"/>
          <w:szCs w:val="24"/>
        </w:rPr>
      </w:pPr>
    </w:p>
    <w:p w14:paraId="469CF714" w14:textId="77777777" w:rsidR="00956F31" w:rsidRDefault="00F93510">
      <w:pPr>
        <w:ind w:left="360"/>
        <w:rPr>
          <w:bCs/>
          <w:i/>
          <w:szCs w:val="24"/>
        </w:rPr>
      </w:pPr>
      <w:r>
        <w:rPr>
          <w:bCs/>
          <w:i/>
          <w:szCs w:val="24"/>
        </w:rPr>
        <w:t>ESG-Related Developments:</w:t>
      </w:r>
    </w:p>
    <w:p w14:paraId="469CF715" w14:textId="77777777" w:rsidR="00956F31" w:rsidRDefault="00F93510">
      <w:pPr>
        <w:pStyle w:val="ListParagraph"/>
        <w:numPr>
          <w:ilvl w:val="0"/>
          <w:numId w:val="32"/>
        </w:numPr>
        <w:rPr>
          <w:bCs/>
          <w:szCs w:val="24"/>
        </w:rPr>
      </w:pPr>
      <w:r>
        <w:rPr>
          <w:bCs/>
          <w:szCs w:val="24"/>
        </w:rPr>
        <w:t>SEC Proposes to Enhance Disclosures by Certain Investment Advisers and Investment Companies About ESG Investment Practices (May 25, 2022)</w:t>
      </w:r>
    </w:p>
    <w:p w14:paraId="469CF716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7" w:history="1">
        <w:r w:rsidR="00F93510">
          <w:rPr>
            <w:rStyle w:val="Hyperlink"/>
            <w:bCs/>
            <w:szCs w:val="24"/>
          </w:rPr>
          <w:t>SEC Press Release</w:t>
        </w:r>
      </w:hyperlink>
    </w:p>
    <w:p w14:paraId="469CF717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8" w:history="1">
        <w:r w:rsidR="00F93510">
          <w:rPr>
            <w:rStyle w:val="Hyperlink"/>
            <w:bCs/>
            <w:szCs w:val="24"/>
          </w:rPr>
          <w:t>SEC Fact Sheet</w:t>
        </w:r>
      </w:hyperlink>
    </w:p>
    <w:p w14:paraId="469CF718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9" w:history="1">
        <w:r w:rsidR="00F93510">
          <w:rPr>
            <w:rStyle w:val="Hyperlink"/>
            <w:bCs/>
            <w:szCs w:val="24"/>
          </w:rPr>
          <w:t>SEC Proposing Release</w:t>
        </w:r>
      </w:hyperlink>
      <w:r w:rsidR="00F93510">
        <w:rPr>
          <w:bCs/>
          <w:szCs w:val="24"/>
        </w:rPr>
        <w:t xml:space="preserve"> </w:t>
      </w:r>
    </w:p>
    <w:p w14:paraId="469CF719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10" w:anchor="LangCode=en-US" w:history="1">
        <w:r w:rsidR="00F93510">
          <w:rPr>
            <w:rStyle w:val="Hyperlink"/>
            <w:bCs/>
            <w:szCs w:val="24"/>
          </w:rPr>
          <w:t>K&amp;L Gates Materials on Proposed ESG Disclosure and Names Rule Reforms</w:t>
        </w:r>
      </w:hyperlink>
    </w:p>
    <w:p w14:paraId="469CF71A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11" w:history="1">
        <w:r w:rsidR="00F93510">
          <w:rPr>
            <w:rStyle w:val="Hyperlink"/>
            <w:bCs/>
            <w:szCs w:val="24"/>
          </w:rPr>
          <w:t>Vedder Price Memo on Proposed ESG Disclosure and Names Rule Reforms</w:t>
        </w:r>
      </w:hyperlink>
    </w:p>
    <w:p w14:paraId="469CF71B" w14:textId="77777777" w:rsidR="00956F31" w:rsidRDefault="00F93510">
      <w:pPr>
        <w:pStyle w:val="ListParagraph"/>
        <w:numPr>
          <w:ilvl w:val="0"/>
          <w:numId w:val="32"/>
        </w:numPr>
        <w:rPr>
          <w:bCs/>
          <w:szCs w:val="24"/>
        </w:rPr>
      </w:pPr>
      <w:r>
        <w:t>SEC Issues Proposed Rule Amendments Regarding Fund Names Conventions (May 25, 2022)</w:t>
      </w:r>
    </w:p>
    <w:p w14:paraId="469CF71C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12" w:history="1">
        <w:r w:rsidR="00F93510">
          <w:rPr>
            <w:rStyle w:val="Hyperlink"/>
          </w:rPr>
          <w:t>SEC Press Release</w:t>
        </w:r>
      </w:hyperlink>
    </w:p>
    <w:p w14:paraId="469CF71D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13" w:history="1">
        <w:r w:rsidR="00F93510">
          <w:rPr>
            <w:rStyle w:val="Hyperlink"/>
          </w:rPr>
          <w:t>SEC Fact Sheet</w:t>
        </w:r>
      </w:hyperlink>
    </w:p>
    <w:p w14:paraId="469CF71E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14" w:history="1">
        <w:r w:rsidR="00F93510">
          <w:rPr>
            <w:rStyle w:val="Hyperlink"/>
          </w:rPr>
          <w:t>SEC Proposing Release</w:t>
        </w:r>
      </w:hyperlink>
    </w:p>
    <w:p w14:paraId="469CF71F" w14:textId="77777777" w:rsidR="00956F31" w:rsidRDefault="00956F31">
      <w:pPr>
        <w:ind w:left="360"/>
        <w:rPr>
          <w:bCs/>
          <w:i/>
          <w:szCs w:val="24"/>
        </w:rPr>
      </w:pPr>
    </w:p>
    <w:p w14:paraId="469CF720" w14:textId="77777777" w:rsidR="00956F31" w:rsidRDefault="00F93510">
      <w:pPr>
        <w:ind w:left="360"/>
        <w:rPr>
          <w:bCs/>
          <w:i/>
          <w:szCs w:val="24"/>
        </w:rPr>
      </w:pPr>
      <w:r>
        <w:rPr>
          <w:bCs/>
          <w:i/>
          <w:szCs w:val="24"/>
        </w:rPr>
        <w:t>Money Market Fund Reforms:</w:t>
      </w:r>
    </w:p>
    <w:p w14:paraId="469CF721" w14:textId="77777777" w:rsidR="00956F31" w:rsidRDefault="00F93510">
      <w:pPr>
        <w:pStyle w:val="ListParagraph"/>
        <w:numPr>
          <w:ilvl w:val="0"/>
          <w:numId w:val="32"/>
        </w:numPr>
        <w:rPr>
          <w:rStyle w:val="Hyperlink"/>
          <w:bCs/>
          <w:szCs w:val="24"/>
        </w:rPr>
      </w:pPr>
      <w:r>
        <w:rPr>
          <w:bCs/>
          <w:szCs w:val="24"/>
        </w:rPr>
        <w:t>SEC Adopts Money Market Fund Reforms (July 12, 2023)</w:t>
      </w:r>
    </w:p>
    <w:p w14:paraId="469CF722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15" w:history="1">
        <w:r w:rsidR="00F93510">
          <w:rPr>
            <w:rStyle w:val="Hyperlink"/>
            <w:bCs/>
            <w:szCs w:val="24"/>
          </w:rPr>
          <w:t>SEC Press Release</w:t>
        </w:r>
      </w:hyperlink>
    </w:p>
    <w:p w14:paraId="469CF723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16" w:history="1">
        <w:r w:rsidR="00F93510">
          <w:rPr>
            <w:rStyle w:val="Hyperlink"/>
            <w:bCs/>
            <w:szCs w:val="24"/>
          </w:rPr>
          <w:t>SEC Fact Sheet</w:t>
        </w:r>
      </w:hyperlink>
    </w:p>
    <w:p w14:paraId="469CF724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17" w:history="1">
        <w:r w:rsidR="00F93510">
          <w:rPr>
            <w:rStyle w:val="Hyperlink"/>
            <w:bCs/>
            <w:szCs w:val="24"/>
          </w:rPr>
          <w:t>SEC Adopting Release</w:t>
        </w:r>
      </w:hyperlink>
    </w:p>
    <w:p w14:paraId="469CF725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18" w:history="1">
        <w:r w:rsidR="00F93510">
          <w:rPr>
            <w:rStyle w:val="Hyperlink"/>
            <w:bCs/>
            <w:szCs w:val="24"/>
          </w:rPr>
          <w:t>K&amp;L Gates Memo on Money Market Fund Reforms</w:t>
        </w:r>
      </w:hyperlink>
    </w:p>
    <w:p w14:paraId="469CF726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19" w:history="1">
        <w:r w:rsidR="00F93510">
          <w:rPr>
            <w:rStyle w:val="Hyperlink"/>
            <w:bCs/>
            <w:szCs w:val="24"/>
          </w:rPr>
          <w:t>Vedder Price Memo on Money Market Fund Reforms</w:t>
        </w:r>
      </w:hyperlink>
    </w:p>
    <w:p w14:paraId="469CF727" w14:textId="77777777" w:rsidR="00956F31" w:rsidRDefault="00956F31">
      <w:pPr>
        <w:ind w:left="360"/>
        <w:rPr>
          <w:bCs/>
          <w:szCs w:val="24"/>
        </w:rPr>
      </w:pPr>
    </w:p>
    <w:p w14:paraId="469CF728" w14:textId="77777777" w:rsidR="00956F31" w:rsidRDefault="00F93510">
      <w:pPr>
        <w:ind w:left="360"/>
        <w:rPr>
          <w:bCs/>
          <w:i/>
          <w:szCs w:val="24"/>
        </w:rPr>
      </w:pPr>
      <w:r>
        <w:rPr>
          <w:bCs/>
          <w:i/>
          <w:szCs w:val="24"/>
        </w:rPr>
        <w:t>Open-End Fund Liquidity Risk Management Programs and Swing Pricing:</w:t>
      </w:r>
    </w:p>
    <w:p w14:paraId="469CF729" w14:textId="77777777" w:rsidR="00956F31" w:rsidRDefault="00F93510">
      <w:pPr>
        <w:pStyle w:val="ListParagraph"/>
        <w:numPr>
          <w:ilvl w:val="0"/>
          <w:numId w:val="32"/>
        </w:numPr>
        <w:rPr>
          <w:bCs/>
          <w:szCs w:val="24"/>
        </w:rPr>
      </w:pPr>
      <w:r>
        <w:rPr>
          <w:bCs/>
          <w:szCs w:val="24"/>
        </w:rPr>
        <w:t>SEC Proposes Enhancements to Open-End Fund Liquidity Framework (Nov. 2, 2022)</w:t>
      </w:r>
    </w:p>
    <w:p w14:paraId="469CF72A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20" w:history="1">
        <w:r w:rsidR="00F93510">
          <w:rPr>
            <w:rStyle w:val="Hyperlink"/>
            <w:bCs/>
            <w:szCs w:val="24"/>
          </w:rPr>
          <w:t>SEC Press Release</w:t>
        </w:r>
      </w:hyperlink>
    </w:p>
    <w:p w14:paraId="469CF72B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21" w:history="1">
        <w:r w:rsidR="00F93510">
          <w:rPr>
            <w:rStyle w:val="Hyperlink"/>
            <w:bCs/>
            <w:szCs w:val="24"/>
          </w:rPr>
          <w:t>SEC Fact Sheet</w:t>
        </w:r>
      </w:hyperlink>
    </w:p>
    <w:p w14:paraId="469CF72C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22" w:history="1">
        <w:r w:rsidR="00F93510">
          <w:rPr>
            <w:rStyle w:val="Hyperlink"/>
            <w:bCs/>
            <w:szCs w:val="24"/>
          </w:rPr>
          <w:t>SEC Proposing Release</w:t>
        </w:r>
      </w:hyperlink>
    </w:p>
    <w:p w14:paraId="469CF72D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23" w:history="1">
        <w:r w:rsidR="00F93510">
          <w:rPr>
            <w:rStyle w:val="Hyperlink"/>
            <w:bCs/>
            <w:szCs w:val="24"/>
          </w:rPr>
          <w:t>K&amp;L Gates Memo on Liquidity Risk Management and Swing Pricing Proposal</w:t>
        </w:r>
      </w:hyperlink>
    </w:p>
    <w:p w14:paraId="469CF72E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24" w:history="1">
        <w:r w:rsidR="00F93510">
          <w:rPr>
            <w:rStyle w:val="Hyperlink"/>
            <w:bCs/>
            <w:szCs w:val="24"/>
          </w:rPr>
          <w:t>Vedder Price Memo on Liquidity Risk Management and Swing Pricing Proposal</w:t>
        </w:r>
      </w:hyperlink>
    </w:p>
    <w:p w14:paraId="469CF72F" w14:textId="77777777" w:rsidR="00956F31" w:rsidRDefault="00956F31">
      <w:pPr>
        <w:ind w:left="360"/>
        <w:rPr>
          <w:bCs/>
          <w:szCs w:val="24"/>
        </w:rPr>
      </w:pPr>
    </w:p>
    <w:p w14:paraId="469CF730" w14:textId="77777777" w:rsidR="00956F31" w:rsidRDefault="00F93510">
      <w:pPr>
        <w:pStyle w:val="ListParagraph"/>
        <w:ind w:left="360"/>
        <w:rPr>
          <w:bCs/>
          <w:i/>
          <w:szCs w:val="24"/>
        </w:rPr>
      </w:pPr>
      <w:r>
        <w:rPr>
          <w:bCs/>
          <w:i/>
          <w:szCs w:val="24"/>
        </w:rPr>
        <w:t>Tailored Shareholder Reports:</w:t>
      </w:r>
    </w:p>
    <w:p w14:paraId="469CF731" w14:textId="77777777" w:rsidR="00956F31" w:rsidRDefault="00F93510">
      <w:pPr>
        <w:pStyle w:val="ListParagraph"/>
        <w:numPr>
          <w:ilvl w:val="0"/>
          <w:numId w:val="32"/>
        </w:numPr>
        <w:rPr>
          <w:bCs/>
          <w:szCs w:val="24"/>
        </w:rPr>
      </w:pPr>
      <w:r>
        <w:rPr>
          <w:bCs/>
          <w:szCs w:val="24"/>
        </w:rPr>
        <w:t>SEC Adopts Amendments to Modernize Fund Shareholder Reports and Promote Transparent Fee- and Expense-Related Information in Fund Advertisements (Oct. 26, 2022)</w:t>
      </w:r>
    </w:p>
    <w:p w14:paraId="469CF732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25" w:history="1">
        <w:r w:rsidR="00F93510">
          <w:rPr>
            <w:rStyle w:val="Hyperlink"/>
            <w:bCs/>
            <w:szCs w:val="24"/>
          </w:rPr>
          <w:t>SEC Press Release</w:t>
        </w:r>
      </w:hyperlink>
    </w:p>
    <w:p w14:paraId="469CF733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26" w:history="1">
        <w:r w:rsidR="00F93510">
          <w:rPr>
            <w:rStyle w:val="Hyperlink"/>
            <w:bCs/>
            <w:szCs w:val="24"/>
          </w:rPr>
          <w:t>SEC Fact Sheet</w:t>
        </w:r>
      </w:hyperlink>
      <w:r w:rsidR="00F93510">
        <w:rPr>
          <w:bCs/>
          <w:szCs w:val="24"/>
        </w:rPr>
        <w:t xml:space="preserve"> </w:t>
      </w:r>
    </w:p>
    <w:p w14:paraId="469CF734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27" w:history="1">
        <w:r w:rsidR="00F93510">
          <w:rPr>
            <w:rStyle w:val="Hyperlink"/>
            <w:bCs/>
            <w:szCs w:val="24"/>
          </w:rPr>
          <w:t>SEC Adopting Release</w:t>
        </w:r>
      </w:hyperlink>
    </w:p>
    <w:p w14:paraId="469CF735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28" w:history="1">
        <w:r w:rsidR="00F93510">
          <w:rPr>
            <w:rStyle w:val="Hyperlink"/>
            <w:bCs/>
            <w:szCs w:val="24"/>
          </w:rPr>
          <w:t>K&amp;L Gates Memo on SEC’s Shareholder Report Modernization</w:t>
        </w:r>
      </w:hyperlink>
    </w:p>
    <w:p w14:paraId="469CF736" w14:textId="77777777" w:rsidR="00956F31" w:rsidRDefault="00240026">
      <w:pPr>
        <w:pStyle w:val="ListParagraph"/>
        <w:numPr>
          <w:ilvl w:val="1"/>
          <w:numId w:val="32"/>
        </w:numPr>
        <w:rPr>
          <w:bCs/>
          <w:szCs w:val="24"/>
        </w:rPr>
      </w:pPr>
      <w:hyperlink r:id="rId29" w:history="1">
        <w:r w:rsidR="00F93510">
          <w:rPr>
            <w:rStyle w:val="Hyperlink"/>
            <w:bCs/>
            <w:szCs w:val="24"/>
          </w:rPr>
          <w:t>Vedder Price Memo on SEC’s Shareholder Report Modernization</w:t>
        </w:r>
      </w:hyperlink>
    </w:p>
    <w:p w14:paraId="469CF737" w14:textId="77777777" w:rsidR="00956F31" w:rsidRDefault="00956F31">
      <w:pPr>
        <w:autoSpaceDE w:val="0"/>
        <w:autoSpaceDN w:val="0"/>
        <w:adjustRightInd w:val="0"/>
        <w:snapToGrid w:val="0"/>
        <w:rPr>
          <w:color w:val="000000"/>
          <w:szCs w:val="24"/>
          <w:lang w:val="x-none"/>
        </w:rPr>
      </w:pPr>
    </w:p>
    <w:p w14:paraId="469CF738" w14:textId="77777777" w:rsidR="00956F31" w:rsidRDefault="00F93510">
      <w:pPr>
        <w:pStyle w:val="ListParagraph"/>
        <w:ind w:left="360"/>
        <w:rPr>
          <w:bCs/>
          <w:i/>
          <w:szCs w:val="24"/>
        </w:rPr>
      </w:pPr>
      <w:r>
        <w:rPr>
          <w:bCs/>
          <w:i/>
          <w:szCs w:val="24"/>
        </w:rPr>
        <w:lastRenderedPageBreak/>
        <w:t>Other Developments</w:t>
      </w:r>
    </w:p>
    <w:p w14:paraId="469CF739" w14:textId="77777777" w:rsidR="00956F31" w:rsidRDefault="00F93510">
      <w:pPr>
        <w:pStyle w:val="ListParagraph"/>
        <w:numPr>
          <w:ilvl w:val="0"/>
          <w:numId w:val="32"/>
        </w:numPr>
        <w:rPr>
          <w:rStyle w:val="Hyperlink"/>
          <w:bCs/>
          <w:szCs w:val="24"/>
        </w:rPr>
      </w:pPr>
      <w:r>
        <w:rPr>
          <w:rStyle w:val="Hyperlink"/>
          <w:bCs/>
          <w:szCs w:val="24"/>
        </w:rPr>
        <w:t>MiFID II No-Action Letter Expiration</w:t>
      </w:r>
    </w:p>
    <w:p w14:paraId="469CF73A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30" w:history="1">
        <w:r w:rsidR="00F93510">
          <w:rPr>
            <w:rStyle w:val="Hyperlink"/>
            <w:bCs/>
            <w:szCs w:val="24"/>
          </w:rPr>
          <w:t>Securities Industry and Financial Markets Association, SEC Staff No-Action Letter (Oct. 26, 2017)</w:t>
        </w:r>
      </w:hyperlink>
    </w:p>
    <w:p w14:paraId="469CF73B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31" w:history="1">
        <w:r w:rsidR="00F93510">
          <w:rPr>
            <w:rStyle w:val="Hyperlink"/>
            <w:bCs/>
            <w:szCs w:val="24"/>
          </w:rPr>
          <w:t>William Birdthistle, Remarks at PLI: Investment Management 2022 (July 26, 2022)</w:t>
        </w:r>
      </w:hyperlink>
    </w:p>
    <w:p w14:paraId="469CF73C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32" w:history="1">
        <w:r w:rsidR="00F93510">
          <w:rPr>
            <w:rStyle w:val="Hyperlink"/>
            <w:bCs/>
            <w:szCs w:val="24"/>
          </w:rPr>
          <w:t>Statement of Commissioner Mark T. Uyeda on the Expiration of the SEC Staff No-Action Letter re: MiFID II (July 5, 2023)</w:t>
        </w:r>
      </w:hyperlink>
    </w:p>
    <w:p w14:paraId="469CF73D" w14:textId="77777777" w:rsidR="00956F31" w:rsidRDefault="00F93510">
      <w:pPr>
        <w:pStyle w:val="ListParagraph"/>
        <w:numPr>
          <w:ilvl w:val="0"/>
          <w:numId w:val="32"/>
        </w:numPr>
        <w:rPr>
          <w:rStyle w:val="Hyperlink"/>
          <w:bCs/>
          <w:szCs w:val="24"/>
        </w:rPr>
      </w:pPr>
      <w:r>
        <w:rPr>
          <w:rStyle w:val="Hyperlink"/>
          <w:bCs/>
          <w:szCs w:val="24"/>
        </w:rPr>
        <w:t>Developments Involving Section 9 Disqualifications for Registered Fund Service Providers</w:t>
      </w:r>
    </w:p>
    <w:p w14:paraId="469CF73E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33" w:history="1">
        <w:r w:rsidR="00F93510">
          <w:rPr>
            <w:rStyle w:val="Hyperlink"/>
            <w:bCs/>
            <w:szCs w:val="24"/>
          </w:rPr>
          <w:t>Allianz Global Investors U.S. LLC, et al., Release No. IC-34287 (May 17, 2022) (notice of application and temporary order)</w:t>
        </w:r>
      </w:hyperlink>
    </w:p>
    <w:p w14:paraId="469CF73F" w14:textId="77777777" w:rsidR="00956F31" w:rsidRDefault="00240026">
      <w:pPr>
        <w:pStyle w:val="ListParagraph"/>
        <w:numPr>
          <w:ilvl w:val="1"/>
          <w:numId w:val="32"/>
        </w:numPr>
        <w:rPr>
          <w:rStyle w:val="Hyperlink"/>
          <w:bCs/>
          <w:szCs w:val="24"/>
        </w:rPr>
      </w:pPr>
      <w:hyperlink r:id="rId34" w:history="1">
        <w:r w:rsidR="00F93510">
          <w:rPr>
            <w:rStyle w:val="Hyperlink"/>
            <w:bCs/>
            <w:szCs w:val="24"/>
          </w:rPr>
          <w:t>Credit Suisse Asset Management, LLC., et al., Release No. IC-23941 (June 7, 2023) (notice of application and temporary order)</w:t>
        </w:r>
      </w:hyperlink>
    </w:p>
    <w:p w14:paraId="469CF740" w14:textId="77777777" w:rsidR="00956F31" w:rsidRDefault="00956F31">
      <w:pPr>
        <w:rPr>
          <w:rStyle w:val="Hyperlink"/>
          <w:bCs/>
          <w:szCs w:val="24"/>
        </w:rPr>
      </w:pPr>
    </w:p>
    <w:p w14:paraId="469CF741" w14:textId="77777777" w:rsidR="00956F31" w:rsidRDefault="00F93510">
      <w:pPr>
        <w:jc w:val="center"/>
        <w:rPr>
          <w:rStyle w:val="Hyperlink"/>
          <w:bCs/>
          <w:szCs w:val="24"/>
        </w:rPr>
      </w:pPr>
      <w:r>
        <w:rPr>
          <w:rStyle w:val="Hyperlink"/>
          <w:bCs/>
          <w:szCs w:val="24"/>
        </w:rPr>
        <w:t>*</w:t>
      </w:r>
      <w:r>
        <w:rPr>
          <w:rStyle w:val="Hyperlink"/>
          <w:bCs/>
          <w:szCs w:val="24"/>
        </w:rPr>
        <w:tab/>
        <w:t>*</w:t>
      </w:r>
      <w:r>
        <w:rPr>
          <w:rStyle w:val="Hyperlink"/>
          <w:bCs/>
          <w:szCs w:val="24"/>
        </w:rPr>
        <w:tab/>
        <w:t>*</w:t>
      </w:r>
      <w:r>
        <w:rPr>
          <w:rStyle w:val="Hyperlink"/>
          <w:bCs/>
          <w:szCs w:val="24"/>
        </w:rPr>
        <w:tab/>
        <w:t>*</w:t>
      </w:r>
      <w:r>
        <w:rPr>
          <w:rStyle w:val="Hyperlink"/>
          <w:bCs/>
          <w:szCs w:val="24"/>
        </w:rPr>
        <w:tab/>
        <w:t>*</w:t>
      </w:r>
    </w:p>
    <w:sectPr w:rsidR="00956F31">
      <w:footerReference w:type="default" r:id="rId35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F744" w14:textId="77777777" w:rsidR="00956F31" w:rsidRDefault="00F93510">
      <w:r>
        <w:separator/>
      </w:r>
    </w:p>
  </w:endnote>
  <w:endnote w:type="continuationSeparator" w:id="0">
    <w:p w14:paraId="469CF745" w14:textId="77777777" w:rsidR="00956F31" w:rsidRDefault="00F9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CF749" w14:textId="77777777" w:rsidR="00956F31" w:rsidRDefault="00F93510">
    <w:pPr>
      <w:pStyle w:val="Footer"/>
      <w:rPr>
        <w:sz w:val="18"/>
      </w:rPr>
    </w:pPr>
    <w:r>
      <w:rPr>
        <w:sz w:val="18"/>
      </w:rPr>
      <w:t>5087820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CF742" w14:textId="77777777" w:rsidR="00956F31" w:rsidRDefault="00F93510">
      <w:r>
        <w:separator/>
      </w:r>
    </w:p>
  </w:footnote>
  <w:footnote w:type="continuationSeparator" w:id="0">
    <w:p w14:paraId="469CF743" w14:textId="77777777" w:rsidR="00956F31" w:rsidRDefault="00F93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CD24C88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" w15:restartNumberingAfterBreak="0">
    <w:nsid w:val="01443C22"/>
    <w:multiLevelType w:val="hybridMultilevel"/>
    <w:tmpl w:val="62DABA8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301E6"/>
    <w:multiLevelType w:val="hybridMultilevel"/>
    <w:tmpl w:val="2120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922F7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E2E14"/>
    <w:multiLevelType w:val="hybridMultilevel"/>
    <w:tmpl w:val="EA464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12E95"/>
    <w:multiLevelType w:val="multilevel"/>
    <w:tmpl w:val="367464D0"/>
    <w:lvl w:ilvl="0">
      <w:start w:val="1"/>
      <w:numFmt w:val="upperRoman"/>
      <w:pStyle w:val="Heading1"/>
      <w:suff w:val="nothing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upperLetter"/>
      <w:pStyle w:val="Heading2"/>
      <w:suff w:val="nothing"/>
      <w:lvlText w:val="%2."/>
      <w:lvlJc w:val="left"/>
      <w:pPr>
        <w:ind w:left="0" w:firstLine="720"/>
      </w:pPr>
      <w:rPr>
        <w:rFonts w:ascii="Times New Roman" w:hAnsi="Times New Roman"/>
      </w:rPr>
    </w:lvl>
    <w:lvl w:ilvl="2">
      <w:start w:val="1"/>
      <w:numFmt w:val="decimal"/>
      <w:pStyle w:val="Heading3"/>
      <w:suff w:val="nothing"/>
      <w:lvlText w:val="%3."/>
      <w:lvlJc w:val="left"/>
      <w:pPr>
        <w:ind w:left="0" w:firstLine="1440"/>
      </w:pPr>
      <w:rPr>
        <w:rFonts w:ascii="Times New Roman" w:hAnsi="Times New Roman"/>
      </w:rPr>
    </w:lvl>
    <w:lvl w:ilvl="3">
      <w:start w:val="1"/>
      <w:numFmt w:val="lowerLetter"/>
      <w:pStyle w:val="Heading4"/>
      <w:suff w:val="nothing"/>
      <w:lvlText w:val="%4."/>
      <w:lvlJc w:val="left"/>
      <w:pPr>
        <w:ind w:left="0" w:firstLine="2160"/>
      </w:pPr>
      <w:rPr>
        <w:rFonts w:ascii="Times New Roman" w:hAnsi="Times New Roman"/>
      </w:rPr>
    </w:lvl>
    <w:lvl w:ilvl="4">
      <w:start w:val="1"/>
      <w:numFmt w:val="decimal"/>
      <w:pStyle w:val="Heading5"/>
      <w:suff w:val="nothing"/>
      <w:lvlText w:val="(%5)"/>
      <w:lvlJc w:val="left"/>
      <w:pPr>
        <w:ind w:left="0" w:firstLine="2880"/>
      </w:pPr>
      <w:rPr>
        <w:rFonts w:ascii="Times New Roman" w:hAnsi="Times New Roman"/>
      </w:rPr>
    </w:lvl>
    <w:lvl w:ilvl="5">
      <w:start w:val="1"/>
      <w:numFmt w:val="lowerLetter"/>
      <w:pStyle w:val="Heading6"/>
      <w:suff w:val="nothing"/>
      <w:lvlText w:val="(%6)"/>
      <w:lvlJc w:val="left"/>
      <w:pPr>
        <w:ind w:left="0" w:firstLine="3600"/>
      </w:pPr>
      <w:rPr>
        <w:rFonts w:ascii="Times New Roman" w:hAnsi="Times New Roman"/>
      </w:rPr>
    </w:lvl>
    <w:lvl w:ilvl="6">
      <w:start w:val="1"/>
      <w:numFmt w:val="lowerRoman"/>
      <w:pStyle w:val="Heading7"/>
      <w:suff w:val="nothing"/>
      <w:lvlText w:val="(%7)"/>
      <w:lvlJc w:val="left"/>
      <w:pPr>
        <w:ind w:left="0" w:firstLine="4320"/>
      </w:pPr>
      <w:rPr>
        <w:rFonts w:ascii="Times New Roman" w:hAnsi="Times New Roman"/>
      </w:rPr>
    </w:lvl>
    <w:lvl w:ilvl="7">
      <w:start w:val="1"/>
      <w:numFmt w:val="lowerLetter"/>
      <w:pStyle w:val="Heading8"/>
      <w:suff w:val="nothing"/>
      <w:lvlText w:val="(%8)"/>
      <w:lvlJc w:val="left"/>
      <w:pPr>
        <w:ind w:left="0" w:firstLine="5040"/>
      </w:pPr>
      <w:rPr>
        <w:rFonts w:ascii="Times New Roman" w:hAnsi="Times New Roman"/>
      </w:rPr>
    </w:lvl>
    <w:lvl w:ilvl="8">
      <w:start w:val="1"/>
      <w:numFmt w:val="lowerRoman"/>
      <w:pStyle w:val="Heading9"/>
      <w:suff w:val="nothing"/>
      <w:lvlText w:val="(%9)"/>
      <w:lvlJc w:val="left"/>
      <w:pPr>
        <w:ind w:left="0" w:firstLine="5760"/>
      </w:pPr>
      <w:rPr>
        <w:rFonts w:ascii="Times New Roman" w:hAnsi="Times New Roman"/>
      </w:rPr>
    </w:lvl>
  </w:abstractNum>
  <w:abstractNum w:abstractNumId="6" w15:restartNumberingAfterBreak="0">
    <w:nsid w:val="10165A87"/>
    <w:multiLevelType w:val="hybridMultilevel"/>
    <w:tmpl w:val="4768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70E8E"/>
    <w:multiLevelType w:val="hybridMultilevel"/>
    <w:tmpl w:val="3796C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80C7D"/>
    <w:multiLevelType w:val="multilevel"/>
    <w:tmpl w:val="8968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95481C"/>
    <w:multiLevelType w:val="multilevel"/>
    <w:tmpl w:val="42CC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C7505"/>
    <w:multiLevelType w:val="multilevel"/>
    <w:tmpl w:val="1100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AC296F"/>
    <w:multiLevelType w:val="multilevel"/>
    <w:tmpl w:val="A3E2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FC0C73"/>
    <w:multiLevelType w:val="multilevel"/>
    <w:tmpl w:val="98A8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BD4748"/>
    <w:multiLevelType w:val="hybridMultilevel"/>
    <w:tmpl w:val="AC3E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779C1"/>
    <w:multiLevelType w:val="hybridMultilevel"/>
    <w:tmpl w:val="74D0B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21B23"/>
    <w:multiLevelType w:val="hybridMultilevel"/>
    <w:tmpl w:val="9DD69BE4"/>
    <w:lvl w:ilvl="0" w:tplc="5C022E4E">
      <w:numFmt w:val="bullet"/>
      <w:lvlText w:val="•"/>
      <w:lvlJc w:val="left"/>
      <w:pPr>
        <w:ind w:left="79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6" w15:restartNumberingAfterBreak="0">
    <w:nsid w:val="3E631F22"/>
    <w:multiLevelType w:val="hybridMultilevel"/>
    <w:tmpl w:val="09242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F5469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1433E"/>
    <w:multiLevelType w:val="hybridMultilevel"/>
    <w:tmpl w:val="1E76D5D8"/>
    <w:lvl w:ilvl="0" w:tplc="4FC0F704">
      <w:start w:val="1"/>
      <w:numFmt w:val="bullet"/>
      <w:lvlText w:val="-"/>
      <w:lvlJc w:val="left"/>
      <w:pPr>
        <w:ind w:left="49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9" w15:restartNumberingAfterBreak="0">
    <w:nsid w:val="46B72666"/>
    <w:multiLevelType w:val="hybridMultilevel"/>
    <w:tmpl w:val="1278DA68"/>
    <w:lvl w:ilvl="0" w:tplc="1916D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B54AC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47553"/>
    <w:multiLevelType w:val="hybridMultilevel"/>
    <w:tmpl w:val="BC6C3252"/>
    <w:lvl w:ilvl="0" w:tplc="5C022E4E">
      <w:numFmt w:val="bullet"/>
      <w:lvlText w:val="•"/>
      <w:lvlJc w:val="left"/>
      <w:pPr>
        <w:ind w:left="72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22" w15:restartNumberingAfterBreak="0">
    <w:nsid w:val="4A2D6883"/>
    <w:multiLevelType w:val="multilevel"/>
    <w:tmpl w:val="6C40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449A8"/>
    <w:multiLevelType w:val="hybridMultilevel"/>
    <w:tmpl w:val="D7E04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EA4794"/>
    <w:multiLevelType w:val="hybridMultilevel"/>
    <w:tmpl w:val="6694D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44068"/>
    <w:multiLevelType w:val="hybridMultilevel"/>
    <w:tmpl w:val="3A006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8337B"/>
    <w:multiLevelType w:val="hybridMultilevel"/>
    <w:tmpl w:val="41862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06C3F"/>
    <w:multiLevelType w:val="hybridMultilevel"/>
    <w:tmpl w:val="A6267E04"/>
    <w:lvl w:ilvl="0" w:tplc="5D7AAD08">
      <w:start w:val="36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D1356"/>
    <w:multiLevelType w:val="hybridMultilevel"/>
    <w:tmpl w:val="E5C4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4C5B16"/>
    <w:multiLevelType w:val="hybridMultilevel"/>
    <w:tmpl w:val="4AEA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A4EE5"/>
    <w:multiLevelType w:val="hybridMultilevel"/>
    <w:tmpl w:val="F23E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E0F45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23350"/>
    <w:multiLevelType w:val="hybridMultilevel"/>
    <w:tmpl w:val="8FD2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278499">
    <w:abstractNumId w:val="5"/>
  </w:num>
  <w:num w:numId="2" w16cid:durableId="1815634442">
    <w:abstractNumId w:val="0"/>
  </w:num>
  <w:num w:numId="3" w16cid:durableId="1841037795">
    <w:abstractNumId w:val="17"/>
  </w:num>
  <w:num w:numId="4" w16cid:durableId="1478448911">
    <w:abstractNumId w:val="20"/>
  </w:num>
  <w:num w:numId="5" w16cid:durableId="1027678491">
    <w:abstractNumId w:val="1"/>
  </w:num>
  <w:num w:numId="6" w16cid:durableId="242836815">
    <w:abstractNumId w:val="30"/>
  </w:num>
  <w:num w:numId="7" w16cid:durableId="1480268318">
    <w:abstractNumId w:val="26"/>
  </w:num>
  <w:num w:numId="8" w16cid:durableId="148445480">
    <w:abstractNumId w:val="28"/>
  </w:num>
  <w:num w:numId="9" w16cid:durableId="1041318658">
    <w:abstractNumId w:val="2"/>
  </w:num>
  <w:num w:numId="10" w16cid:durableId="557202763">
    <w:abstractNumId w:val="29"/>
  </w:num>
  <w:num w:numId="11" w16cid:durableId="1274510348">
    <w:abstractNumId w:val="4"/>
  </w:num>
  <w:num w:numId="12" w16cid:durableId="896626224">
    <w:abstractNumId w:val="16"/>
  </w:num>
  <w:num w:numId="13" w16cid:durableId="1486357362">
    <w:abstractNumId w:val="23"/>
  </w:num>
  <w:num w:numId="14" w16cid:durableId="1324697230">
    <w:abstractNumId w:val="6"/>
  </w:num>
  <w:num w:numId="15" w16cid:durableId="1284730941">
    <w:abstractNumId w:val="11"/>
  </w:num>
  <w:num w:numId="16" w16cid:durableId="2069187865">
    <w:abstractNumId w:val="12"/>
  </w:num>
  <w:num w:numId="17" w16cid:durableId="1921481994">
    <w:abstractNumId w:val="22"/>
  </w:num>
  <w:num w:numId="18" w16cid:durableId="1299409937">
    <w:abstractNumId w:val="9"/>
  </w:num>
  <w:num w:numId="19" w16cid:durableId="1810124377">
    <w:abstractNumId w:val="8"/>
  </w:num>
  <w:num w:numId="20" w16cid:durableId="441725769">
    <w:abstractNumId w:val="10"/>
  </w:num>
  <w:num w:numId="21" w16cid:durableId="1242982348">
    <w:abstractNumId w:val="32"/>
  </w:num>
  <w:num w:numId="22" w16cid:durableId="225655225">
    <w:abstractNumId w:val="21"/>
  </w:num>
  <w:num w:numId="23" w16cid:durableId="152258456">
    <w:abstractNumId w:val="15"/>
  </w:num>
  <w:num w:numId="24" w16cid:durableId="939726287">
    <w:abstractNumId w:val="27"/>
  </w:num>
  <w:num w:numId="25" w16cid:durableId="220757202">
    <w:abstractNumId w:val="24"/>
  </w:num>
  <w:num w:numId="26" w16cid:durableId="1327631163">
    <w:abstractNumId w:val="18"/>
  </w:num>
  <w:num w:numId="27" w16cid:durableId="813253779">
    <w:abstractNumId w:val="31"/>
  </w:num>
  <w:num w:numId="28" w16cid:durableId="1183203406">
    <w:abstractNumId w:val="3"/>
  </w:num>
  <w:num w:numId="29" w16cid:durableId="162084549">
    <w:abstractNumId w:val="19"/>
  </w:num>
  <w:num w:numId="30" w16cid:durableId="544827387">
    <w:abstractNumId w:val="14"/>
  </w:num>
  <w:num w:numId="31" w16cid:durableId="253825236">
    <w:abstractNumId w:val="25"/>
  </w:num>
  <w:num w:numId="32" w16cid:durableId="520432318">
    <w:abstractNumId w:val="7"/>
  </w:num>
  <w:num w:numId="33" w16cid:durableId="8272834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Alignment" w:val="~}”Íj"/>
    <w:docVar w:name="85TrailerDate" w:val="~}¢Í\"/>
    <w:docVar w:name="85TrailerDateField" w:val="~}¢Í\"/>
    <w:docVar w:name="85TrailerDraft" w:val="~}’Íl"/>
    <w:docVar w:name="85TrailerLeading" w:val="~}˜Í"/>
    <w:docVar w:name="85TrailerLibrary" w:val="~} Í_"/>
    <w:docVar w:name="85TrailerTime" w:val="~}–Íh"/>
    <w:docVar w:name="85TrailerTrailing" w:val="~}‘Í"/>
    <w:docVar w:name="85TrailerVerNum" w:val="~}‘Ín"/>
    <w:docVar w:name="MPDocID" w:val="~}žÍfccgggg`d]qu|}ypz"/>
    <w:docVar w:name="MPDocIDTemplate" w:val="~}”Í_©¸k^°·jb¥"/>
    <w:docVar w:name="MPDocIDTemplateDefault" w:val="~}—Í\¦"/>
    <w:docVar w:name="NewDocStampType" w:val="~}’Ís"/>
    <w:docVar w:name="zzmp10NoTrailerPromptID" w:val="USE_Active01.316588049.2"/>
    <w:docVar w:name="zzmpLegacyTrailerRemoved" w:val="True"/>
  </w:docVars>
  <w:rsids>
    <w:rsidRoot w:val="00956F31"/>
    <w:rsid w:val="00240026"/>
    <w:rsid w:val="00956F31"/>
    <w:rsid w:val="00F9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CF6E3"/>
  <w15:chartTrackingRefBased/>
  <w15:docId w15:val="{C6E81F4B-C6CB-4A5C-8F6A-4ECD6666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 w:unhideWhenUsed="1"/>
    <w:lsdException w:name="annotation text" w:uiPriority="0"/>
    <w:lsdException w:name="header" w:uiPriority="0"/>
    <w:lsdException w:name="index heading" w:uiPriority="0"/>
    <w:lsdException w:name="caption" w:semiHidden="1" w:uiPriority="35" w:unhideWhenUsed="1" w:qFormat="1"/>
    <w:lsdException w:name="table of figures" w:uiPriority="0"/>
    <w:lsdException w:name="envelope address" w:uiPriority="0"/>
    <w:lsdException w:name="envelope return" w:uiPriority="0"/>
    <w:lsdException w:name="footnote reference" w:uiPriority="0" w:unhideWhenUsed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nhideWhenUsed="1"/>
    <w:lsdException w:name="toa heading" w:unhideWhenUsed="1"/>
    <w:lsdException w:name="List" w:semiHidden="1"/>
    <w:lsdException w:name="List Bullet" w:semiHidden="1" w:uiPriority="0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qFormat="1"/>
    <w:lsdException w:name="Closing" w:unhideWhenUsed="1"/>
    <w:lsdException w:name="Signature" w:uiPriority="0"/>
    <w:lsdException w:name="Default Paragraph Font" w:uiPriority="0" w:unhideWhenUsed="1"/>
    <w:lsdException w:name="Body Text" w:uiPriority="0" w:qFormat="1"/>
    <w:lsdException w:name="Body Text Indent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uiPriority="0"/>
    <w:lsdException w:name="Subtitle" w:uiPriority="0" w:qFormat="1"/>
    <w:lsdException w:name="Salutation" w:unhideWhenUsed="1"/>
    <w:lsdException w:name="Date" w:uiPriority="0" w:unhideWhenUsed="1"/>
    <w:lsdException w:name="Body Text First Indent" w:unhideWhenUsed="1"/>
    <w:lsdException w:name="Body Text First Indent 2" w:unhideWhenUsed="1"/>
    <w:lsdException w:name="Note Heading" w:uiPriority="0"/>
    <w:lsdException w:name="Body Text 2" w:uiPriority="0"/>
    <w:lsdException w:name="Body Text 3" w:uiPriority="0"/>
    <w:lsdException w:name="Body Text Indent 2" w:unhideWhenUsed="1"/>
    <w:lsdException w:name="Body Text Indent 3" w:unhideWhenUsed="1"/>
    <w:lsdException w:name="Block Text" w:uiPriority="0"/>
    <w:lsdException w:name="Hyperlink" w:unhideWhenUsed="1"/>
    <w:lsdException w:name="FollowedHyperlink" w:uiPriority="0"/>
    <w:lsdException w:name="Strong" w:uiPriority="22" w:qFormat="1"/>
    <w:lsdException w:name="Emphasis" w:uiPriority="0" w:qFormat="1"/>
    <w:lsdException w:name="Document Map" w:uiPriority="0"/>
    <w:lsdException w:name="Plain Text" w:uiPriority="0"/>
    <w:lsdException w:name="E-mail Signature" w:unhideWhenUsed="1"/>
    <w:lsdException w:name="HTML Top of Form" w:uiPriority="0"/>
    <w:lsdException w:name="HTML Bottom of Form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semiHidden="1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unhideWhenUsed="1" w:qFormat="1"/>
    <w:lsdException w:name="Intense Emphasis" w:uiPriority="21" w:unhideWhenUsed="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numPr>
        <w:numId w:val="1"/>
      </w:numPr>
      <w:tabs>
        <w:tab w:val="num" w:pos="720"/>
      </w:tabs>
      <w:spacing w:after="240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numPr>
        <w:ilvl w:val="1"/>
        <w:numId w:val="1"/>
      </w:numPr>
      <w:tabs>
        <w:tab w:val="num" w:pos="1440"/>
      </w:tabs>
      <w:spacing w:after="240"/>
      <w:ind w:left="1440" w:hanging="720"/>
      <w:outlineLvl w:val="1"/>
    </w:pPr>
  </w:style>
  <w:style w:type="paragraph" w:styleId="Heading3">
    <w:name w:val="heading 3"/>
    <w:basedOn w:val="Normal"/>
    <w:next w:val="Normal"/>
    <w:link w:val="Heading3Char"/>
    <w:qFormat/>
    <w:pPr>
      <w:numPr>
        <w:ilvl w:val="2"/>
        <w:numId w:val="1"/>
      </w:numPr>
      <w:tabs>
        <w:tab w:val="num" w:pos="2160"/>
      </w:tabs>
      <w:spacing w:after="240"/>
      <w:ind w:left="2160" w:hanging="720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numPr>
        <w:ilvl w:val="3"/>
        <w:numId w:val="1"/>
      </w:numPr>
      <w:tabs>
        <w:tab w:val="num" w:pos="3600"/>
      </w:tabs>
      <w:spacing w:after="240"/>
      <w:ind w:left="3600" w:hanging="720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tabs>
        <w:tab w:val="num" w:pos="4320"/>
      </w:tabs>
      <w:spacing w:after="240"/>
      <w:ind w:left="4320" w:hanging="720"/>
      <w:outlineLvl w:val="4"/>
    </w:p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tabs>
        <w:tab w:val="num" w:pos="4320"/>
      </w:tabs>
      <w:spacing w:after="240"/>
      <w:ind w:left="4320" w:hanging="720"/>
      <w:outlineLvl w:val="5"/>
    </w:p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tabs>
        <w:tab w:val="num" w:pos="5760"/>
      </w:tabs>
      <w:spacing w:after="240"/>
      <w:ind w:left="5760" w:hanging="72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tabs>
        <w:tab w:val="num" w:pos="7200"/>
      </w:tabs>
      <w:spacing w:after="240"/>
      <w:ind w:left="7200" w:hanging="72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tabs>
        <w:tab w:val="num" w:pos="7920"/>
      </w:tabs>
      <w:spacing w:after="240"/>
      <w:ind w:left="7776" w:hanging="576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szCs w:val="20"/>
    </w:rPr>
  </w:style>
  <w:style w:type="character" w:customStyle="1" w:styleId="Heading2Char">
    <w:name w:val="Heading 2 Char"/>
    <w:link w:val="Heading2"/>
    <w:rPr>
      <w:szCs w:val="20"/>
    </w:rPr>
  </w:style>
  <w:style w:type="paragraph" w:customStyle="1" w:styleId="Answer">
    <w:name w:val="Answer"/>
    <w:basedOn w:val="Normal"/>
    <w:pPr>
      <w:spacing w:line="480" w:lineRule="auto"/>
      <w:ind w:firstLine="720"/>
    </w:pPr>
    <w:rPr>
      <w:rFonts w:ascii="Courier New" w:hAnsi="Courier New"/>
    </w:rPr>
  </w:style>
  <w:style w:type="paragraph" w:styleId="BlockText">
    <w:name w:val="Block Text"/>
    <w:basedOn w:val="Normal"/>
    <w:pPr>
      <w:spacing w:after="240"/>
      <w:ind w:left="1440" w:right="1440"/>
    </w:pPr>
  </w:style>
  <w:style w:type="paragraph" w:styleId="BodyText">
    <w:name w:val="Body Text"/>
    <w:basedOn w:val="Normal"/>
    <w:link w:val="BodyTextChar"/>
    <w:pPr>
      <w:spacing w:after="240"/>
      <w:ind w:firstLine="1440"/>
    </w:pPr>
  </w:style>
  <w:style w:type="character" w:customStyle="1" w:styleId="BodyTextChar">
    <w:name w:val="Body Text Char"/>
    <w:link w:val="BodyText"/>
    <w:rPr>
      <w:szCs w:val="20"/>
    </w:rPr>
  </w:style>
  <w:style w:type="paragraph" w:styleId="BodyText2">
    <w:name w:val="Body Text 2"/>
    <w:basedOn w:val="Normal"/>
    <w:link w:val="BodyText2Char"/>
    <w:pPr>
      <w:spacing w:line="480" w:lineRule="auto"/>
      <w:ind w:firstLine="1440"/>
    </w:pPr>
  </w:style>
  <w:style w:type="character" w:customStyle="1" w:styleId="BodyText2Char">
    <w:name w:val="Body Text 2 Char"/>
    <w:link w:val="BodyText2"/>
    <w:rPr>
      <w:szCs w:val="20"/>
    </w:rPr>
  </w:style>
  <w:style w:type="paragraph" w:styleId="BodyText3">
    <w:name w:val="Body Text 3"/>
    <w:basedOn w:val="Normal"/>
    <w:link w:val="BodyText3Char"/>
    <w:pPr>
      <w:spacing w:after="240"/>
      <w:ind w:firstLine="720"/>
    </w:pPr>
  </w:style>
  <w:style w:type="character" w:customStyle="1" w:styleId="BodyText3Char">
    <w:name w:val="Body Text 3 Char"/>
    <w:link w:val="BodyText3"/>
    <w:rPr>
      <w:szCs w:val="20"/>
    </w:rPr>
  </w:style>
  <w:style w:type="paragraph" w:customStyle="1" w:styleId="BodyText4">
    <w:name w:val="Body Text 4"/>
    <w:basedOn w:val="Normal"/>
    <w:pPr>
      <w:spacing w:after="240"/>
      <w:ind w:left="1440" w:firstLine="1440"/>
    </w:pPr>
  </w:style>
  <w:style w:type="paragraph" w:customStyle="1" w:styleId="BodyTextContinued">
    <w:name w:val="Body Text Continued"/>
    <w:basedOn w:val="BodyText"/>
    <w:next w:val="BodyText"/>
    <w:pPr>
      <w:ind w:firstLine="0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lang w:val="x-none" w:eastAsia="x-none"/>
    </w:rPr>
  </w:style>
  <w:style w:type="character" w:customStyle="1" w:styleId="CommentTextChar">
    <w:name w:val="Comment Text Char"/>
    <w:link w:val="CommentText"/>
    <w:semiHidden/>
    <w:rPr>
      <w:sz w:val="20"/>
      <w:szCs w:val="20"/>
    </w:rPr>
  </w:style>
  <w:style w:type="paragraph" w:styleId="Date">
    <w:name w:val="Date"/>
    <w:basedOn w:val="Normal"/>
    <w:next w:val="Normal"/>
    <w:link w:val="DateChar"/>
  </w:style>
  <w:style w:type="character" w:customStyle="1" w:styleId="DateChar">
    <w:name w:val="Date Char"/>
    <w:link w:val="Date"/>
    <w:rPr>
      <w:szCs w:val="20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rFonts w:ascii="Tahoma" w:hAnsi="Tahoma"/>
      <w:sz w:val="20"/>
      <w:lang w:val="x-none" w:eastAsia="x-none"/>
    </w:rPr>
  </w:style>
  <w:style w:type="character" w:customStyle="1" w:styleId="DocumentMapChar">
    <w:name w:val="Document Map Char"/>
    <w:link w:val="DocumentMap"/>
    <w:semiHidden/>
    <w:rPr>
      <w:rFonts w:ascii="Tahoma" w:hAnsi="Tahoma"/>
      <w:szCs w:val="20"/>
      <w:shd w:val="clear" w:color="auto" w:fill="000080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"/>
    <w:semiHidden/>
    <w:rPr>
      <w:sz w:val="20"/>
      <w:lang w:val="x-none" w:eastAsia="x-none"/>
    </w:rPr>
  </w:style>
  <w:style w:type="character" w:customStyle="1" w:styleId="EndnoteTextChar">
    <w:name w:val="Endnote Text Char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240"/>
      <w:ind w:left="720" w:hanging="720"/>
    </w:pPr>
  </w:style>
  <w:style w:type="character" w:customStyle="1" w:styleId="FootnoteTextChar">
    <w:name w:val="Footnote Text Char"/>
    <w:link w:val="FootnoteText"/>
    <w:semiHidden/>
    <w:rPr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Cs w:val="20"/>
    </w:rPr>
  </w:style>
  <w:style w:type="character" w:customStyle="1" w:styleId="Heading3Char">
    <w:name w:val="Heading 3 Char"/>
    <w:link w:val="Heading3"/>
    <w:rPr>
      <w:szCs w:val="20"/>
    </w:rPr>
  </w:style>
  <w:style w:type="character" w:customStyle="1" w:styleId="Heading4Char">
    <w:name w:val="Heading 4 Char"/>
    <w:link w:val="Heading4"/>
    <w:rPr>
      <w:szCs w:val="20"/>
    </w:rPr>
  </w:style>
  <w:style w:type="character" w:customStyle="1" w:styleId="Heading5Char">
    <w:name w:val="Heading 5 Char"/>
    <w:link w:val="Heading5"/>
    <w:rPr>
      <w:szCs w:val="20"/>
    </w:rPr>
  </w:style>
  <w:style w:type="character" w:customStyle="1" w:styleId="Heading6Char">
    <w:name w:val="Heading 6 Char"/>
    <w:link w:val="Heading6"/>
    <w:rPr>
      <w:szCs w:val="20"/>
    </w:rPr>
  </w:style>
  <w:style w:type="character" w:customStyle="1" w:styleId="Heading7Char">
    <w:name w:val="Heading 7 Char"/>
    <w:link w:val="Heading7"/>
    <w:rPr>
      <w:szCs w:val="20"/>
    </w:rPr>
  </w:style>
  <w:style w:type="character" w:customStyle="1" w:styleId="Heading8Char">
    <w:name w:val="Heading 8 Char"/>
    <w:link w:val="Heading8"/>
    <w:rPr>
      <w:szCs w:val="20"/>
    </w:rPr>
  </w:style>
  <w:style w:type="character" w:customStyle="1" w:styleId="Heading9Char">
    <w:name w:val="Heading 9 Char"/>
    <w:link w:val="Heading9"/>
    <w:rPr>
      <w:szCs w:val="20"/>
    </w:rPr>
  </w:style>
  <w:style w:type="paragraph" w:customStyle="1" w:styleId="Herring">
    <w:name w:val="Herring"/>
    <w:basedOn w:val="Normal"/>
    <w:next w:val="Normal"/>
    <w:rPr>
      <w:color w:val="FF0000"/>
      <w:sz w:val="17"/>
    </w:rPr>
  </w:style>
  <w:style w:type="character" w:styleId="Hyperlink">
    <w:name w:val="Hyperlink"/>
    <w:uiPriority w:val="99"/>
    <w:rPr>
      <w:color w:val="auto"/>
      <w:u w:val="none"/>
    </w:rPr>
  </w:style>
  <w:style w:type="character" w:customStyle="1" w:styleId="ID">
    <w:name w:val="ID"/>
    <w:rPr>
      <w:rFonts w:ascii="Arial" w:hAnsi="Arial"/>
      <w:caps/>
      <w:sz w:val="16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customStyle="1" w:styleId="SubtitleItalic">
    <w:name w:val="Subtitle Italic"/>
    <w:basedOn w:val="Normal"/>
    <w:next w:val="Normal"/>
    <w:uiPriority w:val="10"/>
    <w:qFormat/>
    <w:rPr>
      <w:i/>
      <w:caps/>
      <w:sz w:val="20"/>
    </w:rPr>
  </w:style>
  <w:style w:type="character" w:styleId="LineNumber">
    <w:name w:val="line number"/>
    <w:basedOn w:val="DefaultParagraphFont"/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0"/>
      <w:lang w:val="x-none" w:eastAsia="x-none"/>
    </w:rPr>
  </w:style>
  <w:style w:type="character" w:customStyle="1" w:styleId="MessageHeaderChar">
    <w:name w:val="Message Header Char"/>
    <w:link w:val="MessageHeader"/>
    <w:rPr>
      <w:rFonts w:ascii="Arial" w:hAnsi="Arial"/>
      <w:szCs w:val="20"/>
      <w:shd w:val="pct20" w:color="auto" w:fill="auto"/>
    </w:rPr>
  </w:style>
  <w:style w:type="paragraph" w:customStyle="1" w:styleId="Note">
    <w:name w:val="Note"/>
    <w:basedOn w:val="Normal"/>
    <w:next w:val="Normal"/>
    <w:pPr>
      <w:pBdr>
        <w:top w:val="double" w:sz="4" w:space="6" w:color="FF0000"/>
        <w:left w:val="double" w:sz="4" w:space="4" w:color="FF0000"/>
        <w:bottom w:val="double" w:sz="4" w:space="6" w:color="FF0000"/>
        <w:right w:val="double" w:sz="4" w:space="4" w:color="FF0000"/>
      </w:pBdr>
    </w:pPr>
    <w:rPr>
      <w:vanish/>
      <w:color w:val="FF0000"/>
    </w:rPr>
  </w:style>
  <w:style w:type="paragraph" w:styleId="NoteHeading">
    <w:name w:val="Note Heading"/>
    <w:basedOn w:val="Normal"/>
    <w:next w:val="Normal"/>
    <w:link w:val="NoteHeadingChar"/>
  </w:style>
  <w:style w:type="character" w:customStyle="1" w:styleId="NoteHeadingChar">
    <w:name w:val="Note Heading Char"/>
    <w:link w:val="NoteHeading"/>
    <w:rPr>
      <w:szCs w:val="20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rPr>
      <w:rFonts w:ascii="Courier New" w:hAnsi="Courier New"/>
      <w:sz w:val="20"/>
      <w:szCs w:val="20"/>
    </w:rPr>
  </w:style>
  <w:style w:type="paragraph" w:styleId="Quote">
    <w:name w:val="Quote"/>
    <w:basedOn w:val="Normal"/>
    <w:next w:val="BodyTextContinued"/>
    <w:link w:val="QuoteChar"/>
    <w:qFormat/>
    <w:pPr>
      <w:spacing w:after="240"/>
      <w:ind w:left="1440" w:right="1440"/>
    </w:pPr>
  </w:style>
  <w:style w:type="character" w:customStyle="1" w:styleId="QuoteChar">
    <w:name w:val="Quote Char"/>
    <w:link w:val="Quote"/>
    <w:rPr>
      <w:szCs w:val="20"/>
    </w:rPr>
  </w:style>
  <w:style w:type="paragraph" w:customStyle="1" w:styleId="SECFootnote">
    <w:name w:val="SEC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HeadingRow">
    <w:name w:val="SEC Heading Row"/>
    <w:basedOn w:val="Normal"/>
    <w:pPr>
      <w:jc w:val="center"/>
    </w:pPr>
    <w:rPr>
      <w:b/>
      <w:sz w:val="18"/>
    </w:rPr>
  </w:style>
  <w:style w:type="paragraph" w:customStyle="1" w:styleId="SECIndex">
    <w:name w:val="SEC Index"/>
    <w:basedOn w:val="Normal"/>
    <w:next w:val="Normal"/>
    <w:pPr>
      <w:tabs>
        <w:tab w:val="left" w:leader="dot" w:pos="9360"/>
      </w:tabs>
      <w:ind w:left="720" w:hanging="720"/>
    </w:pPr>
    <w:rPr>
      <w:sz w:val="22"/>
    </w:rPr>
  </w:style>
  <w:style w:type="paragraph" w:customStyle="1" w:styleId="SECItalicHeading">
    <w:name w:val="SEC Italic Heading"/>
    <w:basedOn w:val="Normal"/>
    <w:next w:val="Normal"/>
    <w:pPr>
      <w:spacing w:after="120" w:line="200" w:lineRule="exact"/>
      <w:ind w:firstLine="360"/>
    </w:pPr>
    <w:rPr>
      <w:b/>
      <w:i/>
      <w:sz w:val="22"/>
    </w:rPr>
  </w:style>
  <w:style w:type="paragraph" w:customStyle="1" w:styleId="SECItalicText">
    <w:name w:val="SEC Italic Text"/>
    <w:basedOn w:val="Normal"/>
    <w:next w:val="Normal"/>
    <w:rPr>
      <w:i/>
      <w:caps/>
      <w:sz w:val="20"/>
    </w:rPr>
  </w:style>
  <w:style w:type="paragraph" w:customStyle="1" w:styleId="SECLeftHeading">
    <w:name w:val="SEC Left Heading"/>
    <w:basedOn w:val="Normal"/>
    <w:next w:val="Normal"/>
    <w:pPr>
      <w:spacing w:after="120"/>
    </w:pPr>
    <w:rPr>
      <w:b/>
      <w:sz w:val="20"/>
    </w:rPr>
  </w:style>
  <w:style w:type="paragraph" w:customStyle="1" w:styleId="SECManualFootnote">
    <w:name w:val="SEC Manual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Text">
    <w:name w:val="SEC Text"/>
    <w:basedOn w:val="Normal"/>
    <w:next w:val="Normal"/>
    <w:pPr>
      <w:spacing w:after="240"/>
    </w:pPr>
    <w:rPr>
      <w:sz w:val="20"/>
    </w:rPr>
  </w:style>
  <w:style w:type="paragraph" w:customStyle="1" w:styleId="SECTitle">
    <w:name w:val="SEC Title"/>
    <w:basedOn w:val="Normal"/>
    <w:next w:val="Normal"/>
    <w:pPr>
      <w:spacing w:after="120"/>
      <w:jc w:val="center"/>
    </w:pPr>
    <w:rPr>
      <w:b/>
      <w:caps/>
      <w:sz w:val="20"/>
    </w:rPr>
  </w:style>
  <w:style w:type="paragraph" w:styleId="Signature">
    <w:name w:val="Signature"/>
    <w:basedOn w:val="Normal"/>
    <w:link w:val="SignatureChar"/>
    <w:pPr>
      <w:ind w:left="4320"/>
    </w:pPr>
  </w:style>
  <w:style w:type="character" w:customStyle="1" w:styleId="SignatureChar">
    <w:name w:val="Signature Char"/>
    <w:link w:val="Signature"/>
    <w:rPr>
      <w:szCs w:val="20"/>
    </w:rPr>
  </w:style>
  <w:style w:type="character" w:styleId="Strong">
    <w:name w:val="Strong"/>
    <w:uiPriority w:val="22"/>
    <w:qFormat/>
    <w:rPr>
      <w:b/>
    </w:rPr>
  </w:style>
  <w:style w:type="paragraph" w:styleId="Subtitle">
    <w:name w:val="Subtitle"/>
    <w:basedOn w:val="Normal"/>
    <w:link w:val="SubtitleChar"/>
    <w:qFormat/>
    <w:pPr>
      <w:spacing w:after="240"/>
    </w:pPr>
    <w:rPr>
      <w:b/>
      <w:sz w:val="20"/>
      <w:lang w:val="x-none" w:eastAsia="x-none"/>
    </w:rPr>
  </w:style>
  <w:style w:type="character" w:customStyle="1" w:styleId="SubtitleChar">
    <w:name w:val="Subtitle Char"/>
    <w:link w:val="Subtitle"/>
    <w:rPr>
      <w:b/>
      <w:szCs w:val="20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">
    <w:name w:val="Text"/>
    <w:basedOn w:val="Normal"/>
    <w:next w:val="Normal"/>
    <w:pPr>
      <w:spacing w:after="240"/>
    </w:pPr>
  </w:style>
  <w:style w:type="paragraph" w:styleId="Title">
    <w:name w:val="Title"/>
    <w:basedOn w:val="Normal"/>
    <w:link w:val="TitleChar"/>
    <w:qFormat/>
    <w:pPr>
      <w:spacing w:after="240"/>
      <w:jc w:val="center"/>
    </w:pPr>
    <w:rPr>
      <w:b/>
      <w:caps/>
      <w:kern w:val="28"/>
      <w:sz w:val="20"/>
      <w:u w:val="single"/>
      <w:lang w:val="x-none" w:eastAsia="x-none"/>
    </w:rPr>
  </w:style>
  <w:style w:type="character" w:customStyle="1" w:styleId="TitleChar">
    <w:name w:val="Title Char"/>
    <w:link w:val="Title"/>
    <w:rPr>
      <w:b/>
      <w:caps/>
      <w:kern w:val="28"/>
      <w:szCs w:val="20"/>
      <w:u w:val="single"/>
    </w:rPr>
  </w:style>
  <w:style w:type="paragraph" w:styleId="NoSpacing">
    <w:name w:val="No Spacing"/>
    <w:uiPriority w:val="1"/>
    <w:qFormat/>
    <w:pPr>
      <w:spacing w:after="240"/>
    </w:pPr>
    <w:rPr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ind w:firstLine="360"/>
    </w:pPr>
  </w:style>
  <w:style w:type="character" w:customStyle="1" w:styleId="BodyTextFirstIndentChar">
    <w:name w:val="Body Text First Indent Char"/>
    <w:link w:val="BodyTextFirstIndent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40"/>
      <w:ind w:firstLine="360"/>
    </w:pPr>
  </w:style>
  <w:style w:type="character" w:customStyle="1" w:styleId="BodyTextFirstIndent2Char">
    <w:name w:val="Body Text First Indent 2 Char"/>
    <w:link w:val="BodyTextFirstIndent2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Pr>
      <w:sz w:val="16"/>
      <w:szCs w:val="16"/>
    </w:rPr>
  </w:style>
  <w:style w:type="character" w:styleId="BookTitle">
    <w:name w:val="Book Title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link w:val="Closing"/>
    <w:rPr>
      <w:sz w:val="24"/>
      <w:szCs w:val="24"/>
    </w:rPr>
  </w:style>
  <w:style w:type="table" w:customStyle="1" w:styleId="ColorfulGrid1">
    <w:name w:val="Colorful Grid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rPr>
      <w:b/>
      <w:bCs/>
      <w:sz w:val="20"/>
      <w:szCs w:val="20"/>
    </w:rPr>
  </w:style>
  <w:style w:type="table" w:customStyle="1" w:styleId="DarkList1">
    <w:name w:val="Dark List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link w:val="E-mailSignature"/>
    <w:rPr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link w:val="HTMLAddress"/>
    <w:rPr>
      <w:i/>
      <w:iCs/>
      <w:sz w:val="24"/>
      <w:szCs w:val="24"/>
    </w:rPr>
  </w:style>
  <w:style w:type="character" w:styleId="HTMLCite">
    <w:name w:val="HTML Cite"/>
    <w:uiPriority w:val="99"/>
    <w:semiHidden/>
    <w:unhideWhenUsed/>
    <w:rPr>
      <w:i/>
      <w:iCs/>
    </w:rPr>
  </w:style>
  <w:style w:type="character" w:styleId="HTMLCode">
    <w:name w:val="HTML Code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Pr>
      <w:i/>
      <w:iCs/>
    </w:rPr>
  </w:style>
  <w:style w:type="character" w:styleId="HTMLKeyboard">
    <w:name w:val="HTML Keyboard"/>
    <w:uiPriority w:val="99"/>
    <w:semiHidden/>
    <w:unhideWhenUsed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 w:cs="Consolas"/>
      <w:sz w:val="20"/>
    </w:rPr>
  </w:style>
  <w:style w:type="character" w:customStyle="1" w:styleId="HTMLPreformattedChar">
    <w:name w:val="HTML Preformatted Char"/>
    <w:link w:val="HTMLPreformatted"/>
    <w:rPr>
      <w:rFonts w:ascii="Consolas" w:hAnsi="Consolas" w:cs="Consolas"/>
    </w:rPr>
  </w:style>
  <w:style w:type="character" w:styleId="HTMLSample">
    <w:name w:val="HTML Sample"/>
    <w:uiPriority w:val="99"/>
    <w:semiHidden/>
    <w:unhideWhenUsed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Pr>
      <w:i/>
      <w:iCs/>
    </w:rPr>
  </w:style>
  <w:style w:type="character" w:styleId="IntenseEmphasis">
    <w:name w:val="Intense Emphasis"/>
    <w:uiPriority w:val="21"/>
    <w:semiHidden/>
    <w:unhideWhenUsed/>
    <w:qFormat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rPr>
      <w:b/>
      <w:bCs/>
      <w:i/>
      <w:iCs/>
      <w:color w:val="4F81BD"/>
      <w:sz w:val="24"/>
      <w:szCs w:val="24"/>
    </w:rPr>
  </w:style>
  <w:style w:type="character" w:styleId="IntenseReference">
    <w:name w:val="Intense Reference"/>
    <w:uiPriority w:val="32"/>
    <w:semiHidden/>
    <w:qFormat/>
    <w:rPr>
      <w:b/>
      <w:bCs/>
      <w:smallCaps/>
      <w:color w:val="C0504D"/>
      <w:spacing w:val="5"/>
      <w:u w:val="single"/>
    </w:rPr>
  </w:style>
  <w:style w:type="table" w:customStyle="1" w:styleId="LightGrid1">
    <w:name w:val="Light Grid1"/>
    <w:basedOn w:val="TableNormal"/>
    <w:uiPriority w:val="6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basedOn w:val="TableNormal"/>
    <w:uiPriority w:val="6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basedOn w:val="TableNormal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</w:pPr>
    <w:rPr>
      <w:rFonts w:ascii="Consolas" w:hAnsi="Consolas" w:cs="Consolas"/>
      <w:sz w:val="24"/>
      <w:szCs w:val="24"/>
    </w:rPr>
  </w:style>
  <w:style w:type="character" w:customStyle="1" w:styleId="MacroTextChar">
    <w:name w:val="Macro Text Char"/>
    <w:link w:val="MacroText"/>
    <w:uiPriority w:val="99"/>
    <w:semiHidden/>
    <w:rPr>
      <w:rFonts w:ascii="Consolas" w:hAnsi="Consolas" w:cs="Consolas"/>
      <w:sz w:val="24"/>
      <w:szCs w:val="24"/>
      <w:lang w:val="en-US" w:eastAsia="en-US" w:bidi="ar-SA"/>
    </w:rPr>
  </w:style>
  <w:style w:type="table" w:customStyle="1" w:styleId="MediumGrid11">
    <w:name w:val="Medium Grid 11"/>
    <w:basedOn w:val="TableNormal"/>
    <w:uiPriority w:val="67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character" w:styleId="PlaceholderText">
    <w:name w:val="Placeholder Tex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link w:val="Salutation"/>
    <w:rPr>
      <w:sz w:val="24"/>
      <w:szCs w:val="24"/>
    </w:rPr>
  </w:style>
  <w:style w:type="character" w:styleId="SubtleEmphasis">
    <w:name w:val="Subtle Emphasis"/>
    <w:uiPriority w:val="19"/>
    <w:semiHidden/>
    <w:unhideWhenUsed/>
    <w:qFormat/>
    <w:rPr>
      <w:i/>
      <w:iCs/>
      <w:color w:val="808080"/>
    </w:rPr>
  </w:style>
  <w:style w:type="character" w:styleId="SubtleReference">
    <w:name w:val="Subtle Reference"/>
    <w:uiPriority w:val="31"/>
    <w:semiHidden/>
    <w:qFormat/>
    <w:rPr>
      <w:smallCaps/>
      <w:color w:val="C0504D"/>
      <w:u w:val="single"/>
    </w:rPr>
  </w:style>
  <w:style w:type="table" w:styleId="Table3Deffects1">
    <w:name w:val="Table 3D effects 1"/>
    <w:basedOn w:val="TableNormal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Cambria" w:eastAsia="SimSun" w:hAnsi="Cambria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spacing w:before="480" w:after="0"/>
      <w:outlineLvl w:val="9"/>
    </w:pPr>
    <w:rPr>
      <w:rFonts w:ascii="Cambria" w:eastAsia="SimSun" w:hAnsi="Cambria"/>
      <w:b/>
      <w:bCs/>
      <w:color w:val="365F91"/>
      <w:sz w:val="28"/>
      <w:szCs w:val="28"/>
    </w:rPr>
  </w:style>
  <w:style w:type="paragraph" w:customStyle="1" w:styleId="BodyTextEnglishUK">
    <w:name w:val="Body Text English UK"/>
    <w:basedOn w:val="Normal"/>
    <w:pPr>
      <w:spacing w:after="240"/>
      <w:ind w:firstLine="1440"/>
    </w:pPr>
    <w:rPr>
      <w:lang w:val="en-GB"/>
    </w:rPr>
  </w:style>
  <w:style w:type="paragraph" w:customStyle="1" w:styleId="BodyTextEnglishUS">
    <w:name w:val="Body Text English US"/>
    <w:basedOn w:val="Normal"/>
    <w:pPr>
      <w:spacing w:after="240"/>
      <w:ind w:firstLine="1440"/>
    </w:pPr>
  </w:style>
  <w:style w:type="paragraph" w:customStyle="1" w:styleId="BodyTextFrenchStd">
    <w:name w:val="Body Text French Std"/>
    <w:basedOn w:val="Normal"/>
    <w:pPr>
      <w:spacing w:after="240"/>
      <w:ind w:firstLine="1440"/>
    </w:pPr>
    <w:rPr>
      <w:lang w:val="fr-FR"/>
    </w:rPr>
  </w:style>
  <w:style w:type="paragraph" w:customStyle="1" w:styleId="BodyTextGermanStd">
    <w:name w:val="Body Text German Std"/>
    <w:basedOn w:val="Normal"/>
    <w:pPr>
      <w:spacing w:after="240"/>
      <w:ind w:firstLine="1440"/>
    </w:pPr>
    <w:rPr>
      <w:lang w:val="de-DE"/>
    </w:rPr>
  </w:style>
  <w:style w:type="paragraph" w:customStyle="1" w:styleId="ItalicText">
    <w:name w:val="Italic Text"/>
    <w:basedOn w:val="Normal"/>
    <w:next w:val="Normal"/>
    <w:rPr>
      <w:i/>
      <w:caps/>
      <w:sz w:val="20"/>
    </w:rPr>
  </w:style>
  <w:style w:type="paragraph" w:styleId="ListBullet">
    <w:name w:val="List Bullet"/>
    <w:basedOn w:val="Normal"/>
    <w:pPr>
      <w:numPr>
        <w:numId w:val="2"/>
      </w:numPr>
      <w:ind w:left="0" w:firstLine="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Revision">
    <w:name w:val="Revision"/>
    <w:hidden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gov/files/ia-6034-fact-sheet.pdf" TargetMode="External"/><Relationship Id="rId13" Type="http://schemas.openxmlformats.org/officeDocument/2006/relationships/hyperlink" Target="https://www.sec.gov/files/ic-34593-fact-sheet.pdf" TargetMode="External"/><Relationship Id="rId18" Type="http://schemas.openxmlformats.org/officeDocument/2006/relationships/hyperlink" Target="https://www.klgates.com/Out-With-the-Old-in-With-the-New-SEC-Scraps-Swing-Pricing-Proposal-Removes-Redemption-Gates-and-Mandates-Liquidity-Fees-for-Money-Market-Funds-7-17-2023" TargetMode="External"/><Relationship Id="rId26" Type="http://schemas.openxmlformats.org/officeDocument/2006/relationships/hyperlink" Target="https://www.sec.gov/files/33-11125-fact-sheet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ec.gov/files/33-11130-fact-sheet.pdf" TargetMode="External"/><Relationship Id="rId34" Type="http://schemas.openxmlformats.org/officeDocument/2006/relationships/hyperlink" Target="chrome-extension://efaidnbmnnnibpcajpcglclefindmkaj/https:/www.sec.gov/files/rules/ic/2023/ic-34941.pdf" TargetMode="External"/><Relationship Id="rId7" Type="http://schemas.openxmlformats.org/officeDocument/2006/relationships/hyperlink" Target="https://www.sec.gov/news/press-release/2022-92" TargetMode="External"/><Relationship Id="rId12" Type="http://schemas.openxmlformats.org/officeDocument/2006/relationships/hyperlink" Target="https://www.sec.gov/news/press-release/2022-91" TargetMode="External"/><Relationship Id="rId17" Type="http://schemas.openxmlformats.org/officeDocument/2006/relationships/hyperlink" Target="https://www.sec.gov/rules/final/2023/33-11211.pdf" TargetMode="External"/><Relationship Id="rId25" Type="http://schemas.openxmlformats.org/officeDocument/2006/relationships/hyperlink" Target="https://www.sec.gov/news/press-release/2022-193" TargetMode="External"/><Relationship Id="rId33" Type="http://schemas.openxmlformats.org/officeDocument/2006/relationships/hyperlink" Target="chrome-extension://efaidnbmnnnibpcajpcglclefindmkaj/https:/www.sec.gov/files/rules/ic/2022/ic-34587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ec.gov/files/33-11211-fact-sheet.pdf" TargetMode="External"/><Relationship Id="rId20" Type="http://schemas.openxmlformats.org/officeDocument/2006/relationships/hyperlink" Target="https://www.sec.gov/news/press-release/2022-199" TargetMode="External"/><Relationship Id="rId29" Type="http://schemas.openxmlformats.org/officeDocument/2006/relationships/hyperlink" Target="https://www.vedderprice.com/sec-adopts-amendments-to-streamline-mutual-fund-and-etf-shareholder-reports-and-revise-investment-company-advertising-rul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edderprice.com/sec-proposes-rule-and-form-amendments-to-enhance-disclosures-by-advisers-and-funds-about-esg-investment-practices" TargetMode="External"/><Relationship Id="rId24" Type="http://schemas.openxmlformats.org/officeDocument/2006/relationships/hyperlink" Target="https://www.vedderprice.com/sec-proposes-significant-liquidity-risk-management-and-swing-pricing-reforms" TargetMode="External"/><Relationship Id="rId32" Type="http://schemas.openxmlformats.org/officeDocument/2006/relationships/hyperlink" Target="https://www.sec.gov/news/statement/uyeda-statement-staff-no-action-letter-07-05-202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sec.gov/news/press-release/2023-129" TargetMode="External"/><Relationship Id="rId23" Type="http://schemas.openxmlformats.org/officeDocument/2006/relationships/hyperlink" Target="https://www.klgates.com/SEC-Proposes-Swing-Pricing-and-a-Hard-Close-for-All-Mutual-Funds-11-17-2022" TargetMode="External"/><Relationship Id="rId28" Type="http://schemas.openxmlformats.org/officeDocument/2006/relationships/hyperlink" Target="https://www.klgates.com/SEC-Finalizes-Major-Changes-to-Shareholder-Report-Disclosure-Scheme-and-Investment-Company-Advertisement-Rules-10-27-2022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klgates.com/Proposed-ESG-Disclosure-and-Names-Rule-Reforms" TargetMode="External"/><Relationship Id="rId19" Type="http://schemas.openxmlformats.org/officeDocument/2006/relationships/hyperlink" Target="https://www.vedderprice.com/sec-adopts-significant-money-market-fund-reforms-and-amended-form-pf-reporting-requirements-for-private-liquidity-fund-advisers" TargetMode="External"/><Relationship Id="rId31" Type="http://schemas.openxmlformats.org/officeDocument/2006/relationships/hyperlink" Target="https://www.sec.gov/news/speech/birdthistle-remarks-pli-investment-management-2022-0726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c.gov/rules/proposed/2022/ia-6034.pdf" TargetMode="External"/><Relationship Id="rId14" Type="http://schemas.openxmlformats.org/officeDocument/2006/relationships/hyperlink" Target="https://www.sec.gov/rules/proposed/2022/ic-34593.pdf" TargetMode="External"/><Relationship Id="rId22" Type="http://schemas.openxmlformats.org/officeDocument/2006/relationships/hyperlink" Target="https://www.sec.gov/files/rules/proposed/2022/33-11130.pdf" TargetMode="External"/><Relationship Id="rId27" Type="http://schemas.openxmlformats.org/officeDocument/2006/relationships/hyperlink" Target="https://www.sec.gov/files/rules/final/2022/33-11125.pdf" TargetMode="External"/><Relationship Id="rId30" Type="http://schemas.openxmlformats.org/officeDocument/2006/relationships/hyperlink" Target="file:///C:\Users\amorosmc\AppData\Local\Microsoft\Windows\INetCache\Content.Outlook\HB1OB0NB\o%09https:\www.sec.gov\divisions\investment\noaction\2017\sifma-102617-202a.htm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Dechert LLP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drizzo</dc:creator>
  <cp:keywords>Normal US v1</cp:keywords>
  <cp:lastModifiedBy>Tyeryar, Emma</cp:lastModifiedBy>
  <cp:revision>5</cp:revision>
  <cp:lastPrinted>2015-08-04T14:59:00Z</cp:lastPrinted>
  <dcterms:created xsi:type="dcterms:W3CDTF">2023-09-18T20:56:00Z</dcterms:created>
  <dcterms:modified xsi:type="dcterms:W3CDTF">2023-09-28T14:51:00Z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e0ac0f3410cd7034344c7ebc3e68d97271b599c12cd2f1f6302942284bc364da</vt:lpwstr>
  </property>
</Properties>
</file>