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5E3" w:rsidRPr="0089500B" w:rsidRDefault="0089500B">
      <w:pPr>
        <w:rPr>
          <w:rFonts w:ascii="Arial" w:hAnsi="Arial" w:cs="Arial"/>
          <w:b/>
          <w:bCs/>
        </w:rPr>
      </w:pPr>
      <w:r w:rsidRPr="0089500B">
        <w:rPr>
          <w:rFonts w:ascii="Arial" w:hAnsi="Arial" w:cs="Arial"/>
          <w:b/>
          <w:bCs/>
        </w:rPr>
        <w:t>CLE Materials</w:t>
      </w:r>
    </w:p>
    <w:p w:rsidR="0089500B" w:rsidRPr="0089500B" w:rsidRDefault="0089500B">
      <w:pPr>
        <w:rPr>
          <w:rStyle w:val="Strong"/>
          <w:rFonts w:ascii="Arial" w:hAnsi="Arial" w:cs="Arial"/>
          <w:b/>
          <w:bCs/>
        </w:rPr>
      </w:pPr>
      <w:r w:rsidRPr="0089500B">
        <w:rPr>
          <w:rStyle w:val="Strong"/>
          <w:rFonts w:ascii="Arial" w:hAnsi="Arial" w:cs="Arial"/>
          <w:b/>
          <w:bCs/>
        </w:rPr>
        <w:t>ESG Investing Under the Federal Securities Laws Conference</w:t>
      </w:r>
    </w:p>
    <w:p w:rsidR="0089500B" w:rsidRDefault="0089500B">
      <w:pPr>
        <w:rPr>
          <w:rStyle w:val="Strong"/>
        </w:rPr>
      </w:pPr>
      <w:r>
        <w:rPr>
          <w:rStyle w:val="Strong"/>
        </w:rPr>
        <w:t>October 28, 2022</w:t>
      </w:r>
    </w:p>
    <w:p w:rsidR="0089500B" w:rsidRDefault="0089500B">
      <w:pPr>
        <w:rPr>
          <w:rStyle w:val="Strong"/>
        </w:rPr>
      </w:pPr>
    </w:p>
    <w:p w:rsidR="0089500B" w:rsidRPr="0089500B" w:rsidRDefault="0089500B">
      <w:pPr>
        <w:rPr>
          <w:rStyle w:val="Strong"/>
          <w:b/>
          <w:bCs/>
          <w:u w:val="single"/>
        </w:rPr>
      </w:pPr>
      <w:bookmarkStart w:id="0" w:name="_Hlk117071044"/>
      <w:r w:rsidRPr="0089500B">
        <w:rPr>
          <w:rStyle w:val="Strong"/>
          <w:b/>
          <w:bCs/>
          <w:u w:val="single"/>
        </w:rPr>
        <w:t>SEC Disclosure and Rulemaking Initiatives</w:t>
      </w:r>
    </w:p>
    <w:p w:rsidR="0089500B" w:rsidRDefault="0089500B">
      <w:pPr>
        <w:rPr>
          <w:b/>
          <w:bCs/>
        </w:rPr>
      </w:pPr>
    </w:p>
    <w:p w:rsidR="003873CE" w:rsidRPr="00090585" w:rsidRDefault="003873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0585">
        <w:rPr>
          <w:rFonts w:asciiTheme="minorHAnsi" w:hAnsiTheme="minorHAnsi" w:cstheme="minorHAnsi"/>
          <w:b/>
          <w:bCs/>
          <w:sz w:val="22"/>
          <w:szCs w:val="22"/>
        </w:rPr>
        <w:t>Materials: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7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SEC Issues Proposed Rule Amendments Regarding Fund Naming Conventions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> (July 8,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8" w:history="1">
        <w:r w:rsidR="0089500B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JPMorgan Asset Management comment letter on Fund Names</w:t>
        </w:r>
      </w:hyperlink>
      <w:r w:rsidR="0089500B" w:rsidRPr="00090585">
        <w:rPr>
          <w:rFonts w:asciiTheme="minorHAnsi" w:hAnsiTheme="minorHAnsi" w:cstheme="minorHAnsi"/>
          <w:sz w:val="22"/>
          <w:szCs w:val="22"/>
        </w:rPr>
        <w:t xml:space="preserve"> (August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9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Dechert LLP Comment Letter - Investment Company Names Proposal (File No. S7-16-22)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(August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0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SEC Issues Rule Proposal Related to Certain Investment Advisers’ and Funds’ Disclosures About ESG Investment Practices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> (June 30,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11" w:history="1">
        <w:r w:rsidR="0089500B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JPMorgan Asset Management comment letter on ESG fund disclosures</w:t>
        </w:r>
      </w:hyperlink>
      <w:r w:rsidR="0089500B" w:rsidRPr="00090585">
        <w:rPr>
          <w:rFonts w:asciiTheme="minorHAnsi" w:hAnsiTheme="minorHAnsi" w:cstheme="minorHAnsi"/>
          <w:sz w:val="22"/>
          <w:szCs w:val="22"/>
        </w:rPr>
        <w:t xml:space="preserve"> (August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2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Dechert LLP Comment Letter - ESG Proposal (File No. S7-17-22)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>,” (August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3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SEC Proposes Comprehensive Climate-Related Disclosure Rules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(March 29, 2022)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SEC Division of Examinations Issues Risk Alert Regarding ESG Investing</w:t>
        </w:r>
      </w:hyperlink>
      <w:r w:rsidR="0089500B" w:rsidRPr="00090585">
        <w:rPr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(April 22, 2021)</w:t>
      </w:r>
    </w:p>
    <w:p w:rsidR="0089500B" w:rsidRPr="00090585" w:rsidRDefault="007344C4" w:rsidP="0089500B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Fonts w:asciiTheme="minorHAnsi" w:hAnsiTheme="minorHAnsi" w:cstheme="minorHAnsi"/>
          <w:sz w:val="22"/>
          <w:szCs w:val="22"/>
        </w:rPr>
      </w:pPr>
      <w:hyperlink r:id="rId15" w:tgtFrame="_blank" w:tooltip="Uploads/ DechertOnESGAPracticalGuideForAssetManagers.pdf" w:history="1">
        <w:r w:rsidR="0089500B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Dechert on ESG: A Practical Guide for Asset Managers — Utilizing Principles and Frameworks for ESG Reporting and Disclosure</w:t>
        </w:r>
      </w:hyperlink>
      <w:r w:rsidR="008E7BAF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</w:rPr>
        <w:t xml:space="preserve"> (December 2020)</w:t>
      </w:r>
    </w:p>
    <w:bookmarkEnd w:id="0"/>
    <w:p w:rsidR="0089500B" w:rsidRDefault="0089500B">
      <w:pPr>
        <w:rPr>
          <w:b/>
          <w:bCs/>
        </w:rPr>
      </w:pPr>
    </w:p>
    <w:p w:rsidR="000A0C56" w:rsidRDefault="000A0C56" w:rsidP="000A0C56">
      <w:pPr>
        <w:rPr>
          <w:rStyle w:val="Strong"/>
          <w:b/>
          <w:bCs/>
          <w:u w:val="single"/>
        </w:rPr>
      </w:pPr>
      <w:r w:rsidRPr="0089500B">
        <w:rPr>
          <w:rStyle w:val="Strong"/>
          <w:b/>
          <w:bCs/>
          <w:u w:val="single"/>
        </w:rPr>
        <w:t xml:space="preserve">SEC </w:t>
      </w:r>
      <w:r>
        <w:rPr>
          <w:rStyle w:val="Strong"/>
          <w:b/>
          <w:bCs/>
          <w:u w:val="single"/>
        </w:rPr>
        <w:t>Compliance and Enforcement</w:t>
      </w:r>
    </w:p>
    <w:p w:rsidR="000A0C56" w:rsidRDefault="000A0C56" w:rsidP="000A0C56">
      <w:pPr>
        <w:rPr>
          <w:rStyle w:val="Strong"/>
          <w:b/>
          <w:bCs/>
          <w:u w:val="single"/>
        </w:rPr>
      </w:pPr>
    </w:p>
    <w:p w:rsidR="000A0C56" w:rsidRPr="00090585" w:rsidRDefault="000A0C56" w:rsidP="000A0C5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0585">
        <w:rPr>
          <w:rFonts w:asciiTheme="minorHAnsi" w:hAnsiTheme="minorHAnsi" w:cstheme="minorHAnsi"/>
          <w:b/>
          <w:bCs/>
          <w:sz w:val="22"/>
          <w:szCs w:val="22"/>
        </w:rPr>
        <w:t>Materials:</w:t>
      </w:r>
    </w:p>
    <w:p w:rsidR="00B608A8" w:rsidRPr="00090585" w:rsidRDefault="007344C4" w:rsidP="003C02BA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6" w:history="1">
        <w:r w:rsidR="00B608A8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Are You Ready for ESG as a Critical Business Imperative?</w:t>
        </w:r>
      </w:hyperlink>
      <w:r w:rsidR="00B608A8" w:rsidRPr="00090585">
        <w:rPr>
          <w:rFonts w:asciiTheme="minorHAnsi" w:hAnsiTheme="minorHAnsi" w:cstheme="minorHAnsi"/>
          <w:sz w:val="22"/>
          <w:szCs w:val="22"/>
        </w:rPr>
        <w:t xml:space="preserve"> (October 2022)</w:t>
      </w:r>
    </w:p>
    <w:p w:rsidR="003C02BA" w:rsidRPr="00090585" w:rsidRDefault="007344C4" w:rsidP="003C02BA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7" w:tgtFrame="_blank" w:history="1">
        <w:r w:rsidR="003C02BA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The growing importance of ESG-related supply chain due diligence</w:t>
        </w:r>
      </w:hyperlink>
      <w:r w:rsidR="003C02BA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> (January 24, 2022)</w:t>
      </w:r>
    </w:p>
    <w:p w:rsidR="003C02BA" w:rsidRPr="00090585" w:rsidRDefault="007344C4" w:rsidP="003C02BA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8" w:history="1">
        <w:r w:rsidR="003C02BA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Litigation and Enforcement Risks for Corporates arising from Enhanced ESG Obligations and Stakeholder Pressure</w:t>
        </w:r>
      </w:hyperlink>
      <w:r w:rsidR="003C02BA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> (August 31, 2021)</w:t>
      </w:r>
    </w:p>
    <w:p w:rsidR="003C02BA" w:rsidRPr="00090585" w:rsidRDefault="007344C4" w:rsidP="003C02BA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19" w:tgtFrame="_blank" w:history="1">
        <w:r w:rsidR="003C02BA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SEC Division of Examinations Issues Risk Alert Regarding ESG Investing</w:t>
        </w:r>
      </w:hyperlink>
      <w:r w:rsidR="003C02BA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</w:rPr>
        <w:t xml:space="preserve"> (April 22, 2021)</w:t>
      </w:r>
    </w:p>
    <w:p w:rsidR="00927943" w:rsidRPr="00090585" w:rsidRDefault="00927943" w:rsidP="0092794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090585">
        <w:rPr>
          <w:rFonts w:asciiTheme="minorHAnsi" w:hAnsiTheme="minorHAnsi" w:cstheme="minorHAnsi"/>
          <w:sz w:val="22"/>
          <w:szCs w:val="22"/>
        </w:rPr>
        <w:t>Recent enforcement actions:</w:t>
      </w:r>
    </w:p>
    <w:p w:rsidR="00927943" w:rsidRPr="00090585" w:rsidRDefault="007344C4" w:rsidP="009279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20" w:history="1">
        <w:r w:rsidR="00927943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INVESTMENT ADVISERS ACT OF 1940 Release No. 6032 / May 23, </w:t>
        </w:r>
        <w:proofErr w:type="gramStart"/>
        <w:r w:rsidR="00927943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2022</w:t>
        </w:r>
        <w:proofErr w:type="gramEnd"/>
        <w:r w:rsidR="00927943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INVESTMENT COMPANY ACT OF 1940 Release No. 34591 / May 23, 2022</w:t>
        </w:r>
      </w:hyperlink>
    </w:p>
    <w:p w:rsidR="00927943" w:rsidRPr="00090585" w:rsidRDefault="007344C4" w:rsidP="00927943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hyperlink r:id="rId21" w:history="1">
        <w:r w:rsidR="00927943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INVESTMENT ADVISERS ACT OF 1940 Release No. 5959 / February 10, 2022</w:t>
        </w:r>
      </w:hyperlink>
    </w:p>
    <w:p w:rsidR="002541AB" w:rsidRPr="00090585" w:rsidRDefault="007344C4" w:rsidP="002541AB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sz w:val="22"/>
          <w:szCs w:val="22"/>
        </w:rPr>
      </w:pPr>
      <w:hyperlink r:id="rId22" w:history="1">
        <w:r w:rsidR="002541AB"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U.S. Securities and Exchange Commission 2022 Examination Priorities, Division of Examinations</w:t>
        </w:r>
      </w:hyperlink>
    </w:p>
    <w:p w:rsidR="006F0A83" w:rsidRPr="00090585" w:rsidRDefault="006F0A83" w:rsidP="006F0A83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sz w:val="22"/>
          <w:szCs w:val="22"/>
        </w:rPr>
      </w:pPr>
      <w:r w:rsidRPr="00090585">
        <w:rPr>
          <w:rStyle w:val="Hyperlink"/>
          <w:rFonts w:asciiTheme="minorHAnsi" w:hAnsiTheme="minorHAnsi" w:cstheme="minorHAnsi"/>
          <w:sz w:val="22"/>
          <w:szCs w:val="22"/>
        </w:rPr>
        <w:t xml:space="preserve">SEC </w:t>
      </w:r>
      <w:hyperlink r:id="rId23" w:history="1">
        <w:r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Spotlight on Enforcement Task Force Focused on Climate and ESG Issues</w:t>
        </w:r>
      </w:hyperlink>
    </w:p>
    <w:p w:rsidR="006F0A83" w:rsidRPr="00090585" w:rsidRDefault="006F0A83" w:rsidP="00090585">
      <w:pPr>
        <w:pStyle w:val="ListParagraph"/>
        <w:numPr>
          <w:ilvl w:val="1"/>
          <w:numId w:val="4"/>
        </w:numPr>
        <w:rPr>
          <w:rStyle w:val="Hyperlink"/>
          <w:rFonts w:asciiTheme="minorHAnsi" w:hAnsiTheme="minorHAnsi" w:cstheme="minorHAnsi"/>
          <w:sz w:val="22"/>
          <w:szCs w:val="22"/>
        </w:rPr>
      </w:pPr>
      <w:r w:rsidRPr="00090585">
        <w:rPr>
          <w:rStyle w:val="Hyperlink"/>
          <w:rFonts w:asciiTheme="minorHAnsi" w:hAnsiTheme="minorHAnsi" w:cstheme="minorHAnsi"/>
          <w:sz w:val="22"/>
          <w:szCs w:val="22"/>
        </w:rPr>
        <w:t xml:space="preserve">Press Release: </w:t>
      </w:r>
      <w:hyperlink r:id="rId24" w:history="1">
        <w:r w:rsidRPr="00090585">
          <w:rPr>
            <w:rStyle w:val="Hyperlink"/>
            <w:rFonts w:asciiTheme="minorHAnsi" w:hAnsiTheme="minorHAnsi" w:cstheme="minorHAnsi"/>
            <w:sz w:val="22"/>
            <w:szCs w:val="22"/>
          </w:rPr>
          <w:t>SEC Charges Mutual Fund Manager for Violating Socially Responsible Investing Restrictions</w:t>
        </w:r>
      </w:hyperlink>
      <w:r w:rsidRPr="00090585">
        <w:rPr>
          <w:rStyle w:val="Hyperlink"/>
          <w:rFonts w:asciiTheme="minorHAnsi" w:hAnsiTheme="minorHAnsi" w:cstheme="minorHAnsi"/>
          <w:sz w:val="22"/>
          <w:szCs w:val="22"/>
        </w:rPr>
        <w:t xml:space="preserve"> (July 30, 2008)</w:t>
      </w:r>
    </w:p>
    <w:p w:rsidR="000A0C56" w:rsidRPr="000A0C56" w:rsidRDefault="000A0C56" w:rsidP="000A0C56">
      <w:pPr>
        <w:rPr>
          <w:rStyle w:val="Strong"/>
          <w:b/>
          <w:bCs/>
        </w:rPr>
      </w:pPr>
    </w:p>
    <w:p w:rsidR="00114196" w:rsidRDefault="00114196">
      <w:pPr>
        <w:spacing w:after="160" w:line="259" w:lineRule="auto"/>
        <w:rPr>
          <w:b/>
          <w:bCs/>
          <w:u w:val="single"/>
        </w:rPr>
      </w:pPr>
      <w:bookmarkStart w:id="1" w:name="_Hlk116471556"/>
      <w:r>
        <w:rPr>
          <w:b/>
          <w:bCs/>
          <w:u w:val="single"/>
        </w:rPr>
        <w:br w:type="page"/>
      </w:r>
    </w:p>
    <w:p w:rsidR="000A0C56" w:rsidRDefault="00520169">
      <w:pPr>
        <w:rPr>
          <w:b/>
          <w:bCs/>
          <w:u w:val="single"/>
        </w:rPr>
      </w:pPr>
      <w:r w:rsidRPr="00520169">
        <w:rPr>
          <w:b/>
          <w:bCs/>
          <w:u w:val="single"/>
        </w:rPr>
        <w:t>ESG Developments Outside the United States</w:t>
      </w:r>
    </w:p>
    <w:p w:rsidR="00090585" w:rsidRDefault="00090585">
      <w:pPr>
        <w:rPr>
          <w:b/>
          <w:bCs/>
          <w:u w:val="single"/>
        </w:rPr>
      </w:pPr>
    </w:p>
    <w:p w:rsidR="00090585" w:rsidRPr="00090585" w:rsidRDefault="00090585" w:rsidP="0009058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90585">
        <w:rPr>
          <w:rFonts w:asciiTheme="minorHAnsi" w:hAnsiTheme="minorHAnsi" w:cstheme="minorHAnsi"/>
          <w:b/>
          <w:bCs/>
          <w:sz w:val="22"/>
          <w:szCs w:val="22"/>
        </w:rPr>
        <w:t>Materials:</w:t>
      </w:r>
    </w:p>
    <w:p w:rsidR="00B608A8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25" w:tgtFrame="_blank" w:tooltip="Uploads/ ESG22 Chapter4-Dechert-LLP (1).pdf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“ESG for Asset Managers,” International Comparative Legal Guide – Environmental, Social &amp; Governance Law 2022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(January 4, 2022)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26" w:tgtFrame="_blank" w:tooltip="Uploads/ DechertOnESGAPracticalGuideForAssetManagers.pdf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Dechert on ESG: A Practical Guide for Asset Managers — Utilizing Principles and Frameworks for ESG Reporting and Disclosure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(December 2020)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27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RTS under the SFDR published in the Official Journal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(July 28, 2022)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28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SFDR – April/May Developments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(May 25, 2022)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29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FCA Policy Statement on Enhancing Climate-Related Disclosures by UK Asset Managers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(April 5, 2022)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0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FCA Consultation on Enhancing Climate-Related Disclosures by UK Asset Managers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(September 6, 2021)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1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 xml:space="preserve">The SFDR Jigsaw – putting the pieces together 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>(June 28, 2021)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2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Is Brexit Green?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(December 3, 2020)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3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Overview of the EU Taxonomy Regulation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(November 18, 2020)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4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Overview of the EU Shareholder Rights Directive II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(November 16, 2020)</w:t>
      </w:r>
    </w:p>
    <w:p w:rsidR="00520169" w:rsidRPr="00090585" w:rsidRDefault="007344C4" w:rsidP="00B608A8">
      <w:pPr>
        <w:pStyle w:val="ListParagraph"/>
        <w:numPr>
          <w:ilvl w:val="0"/>
          <w:numId w:val="4"/>
        </w:numPr>
        <w:autoSpaceDE w:val="0"/>
        <w:autoSpaceDN w:val="0"/>
        <w:snapToGrid w:val="0"/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</w:pPr>
      <w:hyperlink r:id="rId35" w:tgtFrame="_blank" w:history="1">
        <w:r w:rsidR="00520169" w:rsidRPr="00090585">
          <w:rPr>
            <w:rStyle w:val="Hyperlink"/>
            <w:rFonts w:asciiTheme="minorHAnsi" w:hAnsiTheme="minorHAnsi" w:cstheme="minorHAnsi"/>
            <w:color w:val="000000"/>
            <w:sz w:val="22"/>
            <w:szCs w:val="22"/>
            <w:lang w:val="x-none"/>
          </w:rPr>
          <w:t>Overview of the ESG Driven Amendment to AIFMD and the UCITS Directive</w:t>
        </w:r>
      </w:hyperlink>
      <w:r w:rsidR="00520169" w:rsidRPr="00090585">
        <w:rPr>
          <w:rStyle w:val="Hyperlink"/>
          <w:rFonts w:asciiTheme="minorHAnsi" w:hAnsiTheme="minorHAnsi" w:cstheme="minorHAnsi"/>
          <w:color w:val="000000"/>
          <w:sz w:val="22"/>
          <w:szCs w:val="22"/>
          <w:lang w:val="x-none"/>
        </w:rPr>
        <w:t xml:space="preserve"> (September 2, 2020)</w:t>
      </w:r>
    </w:p>
    <w:bookmarkEnd w:id="1"/>
    <w:p w:rsidR="00520169" w:rsidRPr="00090585" w:rsidRDefault="00520169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520169" w:rsidRPr="00090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44C4" w:rsidRDefault="007344C4" w:rsidP="00CF54F6">
      <w:r>
        <w:separator/>
      </w:r>
    </w:p>
  </w:endnote>
  <w:endnote w:type="continuationSeparator" w:id="0">
    <w:p w:rsidR="007344C4" w:rsidRDefault="007344C4" w:rsidP="00C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44C4" w:rsidRDefault="007344C4" w:rsidP="00CF54F6">
      <w:r>
        <w:separator/>
      </w:r>
    </w:p>
  </w:footnote>
  <w:footnote w:type="continuationSeparator" w:id="0">
    <w:p w:rsidR="007344C4" w:rsidRDefault="007344C4" w:rsidP="00CF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D24C8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0E312E95"/>
    <w:multiLevelType w:val="multilevel"/>
    <w:tmpl w:val="367464D0"/>
    <w:lvl w:ilvl="0">
      <w:start w:val="1"/>
      <w:numFmt w:val="upperRoman"/>
      <w:suff w:val="nothing"/>
      <w:lvlText w:val="%1.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upperLetter"/>
      <w:pStyle w:val="Heading2"/>
      <w:suff w:val="nothing"/>
      <w:lvlText w:val="%2."/>
      <w:lvlJc w:val="left"/>
      <w:pPr>
        <w:ind w:left="0" w:firstLine="720"/>
      </w:pPr>
      <w:rPr>
        <w:rFonts w:ascii="Times New Roman" w:hAnsi="Times New Roman"/>
      </w:rPr>
    </w:lvl>
    <w:lvl w:ilvl="2">
      <w:start w:val="1"/>
      <w:numFmt w:val="decimal"/>
      <w:pStyle w:val="Heading3"/>
      <w:suff w:val="nothing"/>
      <w:lvlText w:val="%3."/>
      <w:lvlJc w:val="left"/>
      <w:pPr>
        <w:ind w:left="0" w:firstLine="1440"/>
      </w:pPr>
      <w:rPr>
        <w:rFonts w:ascii="Times New Roman" w:hAnsi="Times New Roman"/>
      </w:rPr>
    </w:lvl>
    <w:lvl w:ilvl="3">
      <w:start w:val="1"/>
      <w:numFmt w:val="lowerLetter"/>
      <w:pStyle w:val="Heading4"/>
      <w:suff w:val="nothing"/>
      <w:lvlText w:val="%4."/>
      <w:lvlJc w:val="left"/>
      <w:pPr>
        <w:ind w:left="0" w:firstLine="2160"/>
      </w:pPr>
      <w:rPr>
        <w:rFonts w:ascii="Times New Roman" w:hAnsi="Times New Roman"/>
      </w:rPr>
    </w:lvl>
    <w:lvl w:ilvl="4">
      <w:start w:val="1"/>
      <w:numFmt w:val="decimal"/>
      <w:pStyle w:val="Heading5"/>
      <w:suff w:val="nothing"/>
      <w:lvlText w:val="(%5)"/>
      <w:lvlJc w:val="left"/>
      <w:pPr>
        <w:ind w:left="0" w:firstLine="2880"/>
      </w:pPr>
      <w:rPr>
        <w:rFonts w:ascii="Times New Roman" w:hAnsi="Times New Roman"/>
      </w:rPr>
    </w:lvl>
    <w:lvl w:ilvl="5">
      <w:start w:val="1"/>
      <w:numFmt w:val="lowerLetter"/>
      <w:pStyle w:val="Heading6"/>
      <w:suff w:val="nothing"/>
      <w:lvlText w:val="(%6)"/>
      <w:lvlJc w:val="left"/>
      <w:pPr>
        <w:ind w:left="0" w:firstLine="3600"/>
      </w:pPr>
      <w:rPr>
        <w:rFonts w:ascii="Times New Roman" w:hAnsi="Times New Roman"/>
      </w:rPr>
    </w:lvl>
    <w:lvl w:ilvl="6">
      <w:start w:val="1"/>
      <w:numFmt w:val="lowerRoman"/>
      <w:pStyle w:val="Heading7"/>
      <w:suff w:val="nothing"/>
      <w:lvlText w:val="(%7)"/>
      <w:lvlJc w:val="left"/>
      <w:pPr>
        <w:ind w:left="0" w:firstLine="4320"/>
      </w:pPr>
      <w:rPr>
        <w:rFonts w:ascii="Times New Roman" w:hAnsi="Times New Roman"/>
      </w:rPr>
    </w:lvl>
    <w:lvl w:ilvl="7">
      <w:start w:val="1"/>
      <w:numFmt w:val="lowerLetter"/>
      <w:pStyle w:val="Heading8"/>
      <w:suff w:val="nothing"/>
      <w:lvlText w:val="(%8)"/>
      <w:lvlJc w:val="left"/>
      <w:pPr>
        <w:ind w:left="0" w:firstLine="5040"/>
      </w:pPr>
      <w:rPr>
        <w:rFonts w:ascii="Times New Roman" w:hAnsi="Times New Roman"/>
      </w:rPr>
    </w:lvl>
    <w:lvl w:ilvl="8">
      <w:start w:val="1"/>
      <w:numFmt w:val="lowerRoman"/>
      <w:pStyle w:val="Heading9"/>
      <w:suff w:val="nothing"/>
      <w:lvlText w:val="(%9)"/>
      <w:lvlJc w:val="left"/>
      <w:pPr>
        <w:ind w:left="0" w:firstLine="5760"/>
      </w:pPr>
      <w:rPr>
        <w:rFonts w:ascii="Times New Roman" w:hAnsi="Times New Roman"/>
      </w:rPr>
    </w:lvl>
  </w:abstractNum>
  <w:abstractNum w:abstractNumId="2" w15:restartNumberingAfterBreak="0">
    <w:nsid w:val="2F9779C1"/>
    <w:multiLevelType w:val="hybridMultilevel"/>
    <w:tmpl w:val="74D0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36030"/>
    <w:multiLevelType w:val="multilevel"/>
    <w:tmpl w:val="D634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A4794"/>
    <w:multiLevelType w:val="hybridMultilevel"/>
    <w:tmpl w:val="6694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15042"/>
    <w:multiLevelType w:val="multilevel"/>
    <w:tmpl w:val="6B7E3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4F12E4"/>
    <w:multiLevelType w:val="hybridMultilevel"/>
    <w:tmpl w:val="744023A6"/>
    <w:lvl w:ilvl="0" w:tplc="55B2FD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74CF5"/>
    <w:multiLevelType w:val="multilevel"/>
    <w:tmpl w:val="475E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012FD"/>
    <w:multiLevelType w:val="multilevel"/>
    <w:tmpl w:val="55EC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940421">
    <w:abstractNumId w:val="1"/>
  </w:num>
  <w:num w:numId="2" w16cid:durableId="669451125">
    <w:abstractNumId w:val="0"/>
  </w:num>
  <w:num w:numId="3" w16cid:durableId="555429740">
    <w:abstractNumId w:val="4"/>
  </w:num>
  <w:num w:numId="4" w16cid:durableId="326982403">
    <w:abstractNumId w:val="2"/>
  </w:num>
  <w:num w:numId="5" w16cid:durableId="611597804">
    <w:abstractNumId w:val="6"/>
  </w:num>
  <w:num w:numId="6" w16cid:durableId="503596521">
    <w:abstractNumId w:val="3"/>
  </w:num>
  <w:num w:numId="7" w16cid:durableId="1585454491">
    <w:abstractNumId w:val="7"/>
  </w:num>
  <w:num w:numId="8" w16cid:durableId="644237384">
    <w:abstractNumId w:val="8"/>
  </w:num>
  <w:num w:numId="9" w16cid:durableId="11919196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10NoTrailerPromptID" w:val="ADMINISTRATION.6613272.1"/>
  </w:docVars>
  <w:rsids>
    <w:rsidRoot w:val="0089500B"/>
    <w:rsid w:val="00090585"/>
    <w:rsid w:val="000A0C56"/>
    <w:rsid w:val="000C511B"/>
    <w:rsid w:val="000C517D"/>
    <w:rsid w:val="00114196"/>
    <w:rsid w:val="00122DF3"/>
    <w:rsid w:val="00131966"/>
    <w:rsid w:val="001428BA"/>
    <w:rsid w:val="001B7087"/>
    <w:rsid w:val="001E0965"/>
    <w:rsid w:val="002541AB"/>
    <w:rsid w:val="002676C5"/>
    <w:rsid w:val="002B6CF5"/>
    <w:rsid w:val="002E489A"/>
    <w:rsid w:val="003873CE"/>
    <w:rsid w:val="003C02BA"/>
    <w:rsid w:val="00456DE0"/>
    <w:rsid w:val="004605E3"/>
    <w:rsid w:val="0046145C"/>
    <w:rsid w:val="00487108"/>
    <w:rsid w:val="00520169"/>
    <w:rsid w:val="005C3418"/>
    <w:rsid w:val="005E3C91"/>
    <w:rsid w:val="00672C91"/>
    <w:rsid w:val="006F0A83"/>
    <w:rsid w:val="007344C4"/>
    <w:rsid w:val="007B6D54"/>
    <w:rsid w:val="008606D7"/>
    <w:rsid w:val="0089500B"/>
    <w:rsid w:val="008D3674"/>
    <w:rsid w:val="008E7BAF"/>
    <w:rsid w:val="00900942"/>
    <w:rsid w:val="00927943"/>
    <w:rsid w:val="009327BA"/>
    <w:rsid w:val="00991478"/>
    <w:rsid w:val="00AA59E7"/>
    <w:rsid w:val="00B608A8"/>
    <w:rsid w:val="00BD4F81"/>
    <w:rsid w:val="00C410E0"/>
    <w:rsid w:val="00CF54F6"/>
    <w:rsid w:val="00DB16AE"/>
    <w:rsid w:val="00E255FF"/>
    <w:rsid w:val="00EE54CC"/>
    <w:rsid w:val="00F8250A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D0AE4"/>
  <w15:chartTrackingRefBased/>
  <w15:docId w15:val="{FAFE37F8-7815-41EF-900C-97B3AA62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965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E0965"/>
    <w:pPr>
      <w:tabs>
        <w:tab w:val="num" w:pos="720"/>
      </w:tabs>
      <w:spacing w:after="24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1E0965"/>
    <w:pPr>
      <w:numPr>
        <w:ilvl w:val="1"/>
        <w:numId w:val="1"/>
      </w:numPr>
      <w:tabs>
        <w:tab w:val="num" w:pos="1440"/>
      </w:tabs>
      <w:spacing w:after="240"/>
      <w:ind w:left="144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1E0965"/>
    <w:pPr>
      <w:numPr>
        <w:ilvl w:val="2"/>
        <w:numId w:val="1"/>
      </w:numPr>
      <w:tabs>
        <w:tab w:val="num" w:pos="2160"/>
      </w:tabs>
      <w:spacing w:after="240"/>
      <w:ind w:left="216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1E0965"/>
    <w:pPr>
      <w:numPr>
        <w:ilvl w:val="3"/>
        <w:numId w:val="1"/>
      </w:numPr>
      <w:tabs>
        <w:tab w:val="num" w:pos="3600"/>
      </w:tabs>
      <w:spacing w:after="240"/>
      <w:ind w:left="360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1E0965"/>
    <w:pPr>
      <w:numPr>
        <w:ilvl w:val="4"/>
        <w:numId w:val="1"/>
      </w:numPr>
      <w:tabs>
        <w:tab w:val="num" w:pos="4320"/>
      </w:tabs>
      <w:spacing w:after="240"/>
      <w:ind w:left="43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1E0965"/>
    <w:pPr>
      <w:numPr>
        <w:ilvl w:val="5"/>
        <w:numId w:val="1"/>
      </w:numPr>
      <w:tabs>
        <w:tab w:val="num" w:pos="4320"/>
      </w:tabs>
      <w:spacing w:after="240"/>
      <w:ind w:left="43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1E0965"/>
    <w:pPr>
      <w:numPr>
        <w:ilvl w:val="6"/>
        <w:numId w:val="1"/>
      </w:numPr>
      <w:tabs>
        <w:tab w:val="num" w:pos="5760"/>
      </w:tabs>
      <w:spacing w:after="240"/>
      <w:ind w:left="576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E0965"/>
    <w:pPr>
      <w:numPr>
        <w:ilvl w:val="7"/>
        <w:numId w:val="1"/>
      </w:numPr>
      <w:tabs>
        <w:tab w:val="num" w:pos="7200"/>
      </w:tabs>
      <w:spacing w:after="240"/>
      <w:ind w:left="720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1E0965"/>
    <w:pPr>
      <w:numPr>
        <w:ilvl w:val="8"/>
        <w:numId w:val="1"/>
      </w:numPr>
      <w:tabs>
        <w:tab w:val="num" w:pos="7920"/>
      </w:tabs>
      <w:spacing w:after="240"/>
      <w:ind w:left="7776" w:hanging="576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1E0965"/>
    <w:rPr>
      <w:rFonts w:ascii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E0965"/>
    <w:rPr>
      <w:rFonts w:ascii="Times New Roman" w:hAnsi="Times New Roman" w:cs="Times New Roman"/>
      <w:sz w:val="24"/>
      <w:szCs w:val="20"/>
    </w:rPr>
  </w:style>
  <w:style w:type="paragraph" w:customStyle="1" w:styleId="Answer">
    <w:name w:val="Answer"/>
    <w:basedOn w:val="Normal"/>
    <w:rsid w:val="001E0965"/>
    <w:pPr>
      <w:spacing w:line="480" w:lineRule="auto"/>
      <w:ind w:firstLine="720"/>
    </w:pPr>
    <w:rPr>
      <w:rFonts w:ascii="Courier New" w:hAnsi="Courier New"/>
    </w:rPr>
  </w:style>
  <w:style w:type="paragraph" w:styleId="BlockText">
    <w:name w:val="Block Text"/>
    <w:basedOn w:val="Normal"/>
    <w:rsid w:val="001E0965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1E0965"/>
    <w:pPr>
      <w:spacing w:after="240"/>
      <w:ind w:firstLine="1440"/>
    </w:pPr>
  </w:style>
  <w:style w:type="character" w:customStyle="1" w:styleId="BodyTextChar">
    <w:name w:val="Body Text Char"/>
    <w:basedOn w:val="DefaultParagraphFont"/>
    <w:link w:val="BodyText"/>
    <w:rsid w:val="001E0965"/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1E0965"/>
    <w:pPr>
      <w:spacing w:line="480" w:lineRule="auto"/>
      <w:ind w:firstLine="1440"/>
    </w:pPr>
  </w:style>
  <w:style w:type="character" w:customStyle="1" w:styleId="BodyText2Char">
    <w:name w:val="Body Text 2 Char"/>
    <w:basedOn w:val="DefaultParagraphFont"/>
    <w:link w:val="BodyText2"/>
    <w:rsid w:val="001E0965"/>
    <w:rPr>
      <w:rFonts w:ascii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1E0965"/>
    <w:pPr>
      <w:spacing w:after="240"/>
      <w:ind w:firstLine="720"/>
    </w:pPr>
  </w:style>
  <w:style w:type="character" w:customStyle="1" w:styleId="BodyText3Char">
    <w:name w:val="Body Text 3 Char"/>
    <w:basedOn w:val="DefaultParagraphFont"/>
    <w:link w:val="BodyText3"/>
    <w:rsid w:val="001E0965"/>
    <w:rPr>
      <w:rFonts w:ascii="Times New Roman" w:hAnsi="Times New Roman" w:cs="Times New Roman"/>
      <w:sz w:val="24"/>
      <w:szCs w:val="20"/>
    </w:rPr>
  </w:style>
  <w:style w:type="paragraph" w:customStyle="1" w:styleId="BodyText4">
    <w:name w:val="Body Text 4"/>
    <w:basedOn w:val="Normal"/>
    <w:rsid w:val="001E0965"/>
    <w:pPr>
      <w:spacing w:after="240"/>
      <w:ind w:left="1440" w:firstLine="1440"/>
    </w:pPr>
  </w:style>
  <w:style w:type="paragraph" w:customStyle="1" w:styleId="BodyTextContinued">
    <w:name w:val="Body Text Continued"/>
    <w:basedOn w:val="BodyText"/>
    <w:next w:val="BodyText"/>
    <w:rsid w:val="001E0965"/>
    <w:pPr>
      <w:ind w:firstLine="0"/>
    </w:pPr>
  </w:style>
  <w:style w:type="character" w:styleId="CommentReference">
    <w:name w:val="annotation reference"/>
    <w:basedOn w:val="DefaultParagraphFont"/>
    <w:semiHidden/>
    <w:rsid w:val="001E0965"/>
    <w:rPr>
      <w:sz w:val="16"/>
    </w:rPr>
  </w:style>
  <w:style w:type="paragraph" w:styleId="CommentText">
    <w:name w:val="annotation text"/>
    <w:basedOn w:val="Normal"/>
    <w:link w:val="CommentTextChar"/>
    <w:semiHidden/>
    <w:rsid w:val="001E0965"/>
    <w:rPr>
      <w:sz w:val="20"/>
    </w:rPr>
  </w:style>
  <w:style w:type="character" w:customStyle="1" w:styleId="CommentTextChar">
    <w:name w:val="Comment Text Char"/>
    <w:link w:val="CommentText"/>
    <w:semiHidden/>
    <w:rsid w:val="001E0965"/>
    <w:rPr>
      <w:rFonts w:ascii="Times New Roma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rsid w:val="001E0965"/>
  </w:style>
  <w:style w:type="character" w:customStyle="1" w:styleId="DateChar">
    <w:name w:val="Date Char"/>
    <w:basedOn w:val="DefaultParagraphFont"/>
    <w:link w:val="Date"/>
    <w:rsid w:val="001E0965"/>
    <w:rPr>
      <w:rFonts w:ascii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1E096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1E0965"/>
    <w:rPr>
      <w:rFonts w:ascii="Tahoma" w:hAnsi="Tahoma" w:cs="Times New Roman"/>
      <w:sz w:val="24"/>
      <w:szCs w:val="20"/>
      <w:shd w:val="clear" w:color="auto" w:fill="000080"/>
    </w:rPr>
  </w:style>
  <w:style w:type="character" w:styleId="Emphasis">
    <w:name w:val="Emphasis"/>
    <w:basedOn w:val="DefaultParagraphFont"/>
    <w:qFormat/>
    <w:rsid w:val="001E0965"/>
    <w:rPr>
      <w:i/>
    </w:rPr>
  </w:style>
  <w:style w:type="character" w:styleId="EndnoteReference">
    <w:name w:val="endnote reference"/>
    <w:basedOn w:val="DefaultParagraphFont"/>
    <w:semiHidden/>
    <w:rsid w:val="001E096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E0965"/>
    <w:rPr>
      <w:sz w:val="20"/>
    </w:rPr>
  </w:style>
  <w:style w:type="character" w:customStyle="1" w:styleId="EndnoteTextChar">
    <w:name w:val="Endnote Text Char"/>
    <w:link w:val="EndnoteText"/>
    <w:semiHidden/>
    <w:rsid w:val="001E0965"/>
    <w:rPr>
      <w:rFonts w:ascii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1E096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1E0965"/>
  </w:style>
  <w:style w:type="character" w:styleId="FollowedHyperlink">
    <w:name w:val="FollowedHyperlink"/>
    <w:basedOn w:val="DefaultParagraphFont"/>
    <w:rsid w:val="001E0965"/>
    <w:rPr>
      <w:color w:val="800080"/>
      <w:u w:val="single"/>
    </w:rPr>
  </w:style>
  <w:style w:type="paragraph" w:styleId="Footer">
    <w:name w:val="footer"/>
    <w:basedOn w:val="Normal"/>
    <w:link w:val="FooterChar"/>
    <w:rsid w:val="001E0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0965"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1E096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0965"/>
    <w:pPr>
      <w:spacing w:after="240"/>
      <w:ind w:left="720" w:hanging="720"/>
    </w:pPr>
  </w:style>
  <w:style w:type="character" w:customStyle="1" w:styleId="FootnoteTextChar">
    <w:name w:val="Footnote Text Char"/>
    <w:basedOn w:val="DefaultParagraphFont"/>
    <w:link w:val="FootnoteText"/>
    <w:semiHidden/>
    <w:rsid w:val="001E0965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1E0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965"/>
    <w:rPr>
      <w:rFonts w:ascii="Times New Roman" w:hAnsi="Times New Roman" w:cs="Times New Roman"/>
      <w:sz w:val="24"/>
      <w:szCs w:val="20"/>
    </w:rPr>
  </w:style>
  <w:style w:type="paragraph" w:customStyle="1" w:styleId="Herring">
    <w:name w:val="Herring"/>
    <w:basedOn w:val="Normal"/>
    <w:next w:val="Normal"/>
    <w:rsid w:val="001E0965"/>
    <w:rPr>
      <w:color w:val="FF0000"/>
      <w:sz w:val="17"/>
    </w:rPr>
  </w:style>
  <w:style w:type="character" w:styleId="Hyperlink">
    <w:name w:val="Hyperlink"/>
    <w:basedOn w:val="DefaultParagraphFont"/>
    <w:uiPriority w:val="99"/>
    <w:rsid w:val="001E0965"/>
    <w:rPr>
      <w:color w:val="auto"/>
      <w:u w:val="none"/>
    </w:rPr>
  </w:style>
  <w:style w:type="character" w:customStyle="1" w:styleId="ID">
    <w:name w:val="ID"/>
    <w:basedOn w:val="DefaultParagraphFont"/>
    <w:rsid w:val="001E0965"/>
    <w:rPr>
      <w:rFonts w:ascii="Arial" w:hAnsi="Arial"/>
      <w:caps/>
      <w:sz w:val="16"/>
    </w:rPr>
  </w:style>
  <w:style w:type="paragraph" w:styleId="Index1">
    <w:name w:val="index 1"/>
    <w:basedOn w:val="Normal"/>
    <w:next w:val="Normal"/>
    <w:autoRedefine/>
    <w:semiHidden/>
    <w:rsid w:val="001E096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E096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E096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E096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E096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E096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E096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E096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E0965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E0965"/>
    <w:rPr>
      <w:rFonts w:ascii="Arial" w:hAnsi="Arial"/>
      <w:b/>
    </w:rPr>
  </w:style>
  <w:style w:type="paragraph" w:customStyle="1" w:styleId="SubtitleItalic">
    <w:name w:val="Subtitle Italic"/>
    <w:basedOn w:val="Normal"/>
    <w:next w:val="Normal"/>
    <w:uiPriority w:val="10"/>
    <w:qFormat/>
    <w:rsid w:val="001E0965"/>
    <w:rPr>
      <w:i/>
      <w:caps/>
      <w:sz w:val="20"/>
    </w:rPr>
  </w:style>
  <w:style w:type="character" w:styleId="LineNumber">
    <w:name w:val="line number"/>
    <w:basedOn w:val="DefaultParagraphFont"/>
    <w:rsid w:val="001E0965"/>
  </w:style>
  <w:style w:type="paragraph" w:styleId="MessageHeader">
    <w:name w:val="Message Header"/>
    <w:basedOn w:val="Normal"/>
    <w:link w:val="MessageHeaderChar"/>
    <w:rsid w:val="001E0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1E0965"/>
    <w:rPr>
      <w:rFonts w:ascii="Arial" w:hAnsi="Arial" w:cs="Times New Roman"/>
      <w:sz w:val="24"/>
      <w:szCs w:val="20"/>
      <w:shd w:val="pct20" w:color="auto" w:fill="auto"/>
    </w:rPr>
  </w:style>
  <w:style w:type="paragraph" w:customStyle="1" w:styleId="Note">
    <w:name w:val="Note"/>
    <w:basedOn w:val="Normal"/>
    <w:next w:val="Normal"/>
    <w:rsid w:val="001E0965"/>
    <w:pPr>
      <w:pBdr>
        <w:top w:val="double" w:sz="4" w:space="6" w:color="FF0000"/>
        <w:left w:val="double" w:sz="4" w:space="4" w:color="FF0000"/>
        <w:bottom w:val="double" w:sz="4" w:space="6" w:color="FF0000"/>
        <w:right w:val="double" w:sz="4" w:space="4" w:color="FF0000"/>
      </w:pBdr>
    </w:pPr>
    <w:rPr>
      <w:vanish/>
      <w:color w:val="FF0000"/>
    </w:rPr>
  </w:style>
  <w:style w:type="paragraph" w:styleId="NoteHeading">
    <w:name w:val="Note Heading"/>
    <w:basedOn w:val="Normal"/>
    <w:next w:val="Normal"/>
    <w:link w:val="NoteHeadingChar"/>
    <w:rsid w:val="001E0965"/>
  </w:style>
  <w:style w:type="character" w:customStyle="1" w:styleId="NoteHeadingChar">
    <w:name w:val="Note Heading Char"/>
    <w:basedOn w:val="DefaultParagraphFont"/>
    <w:link w:val="NoteHeading"/>
    <w:rsid w:val="001E0965"/>
    <w:rPr>
      <w:rFonts w:ascii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1E0965"/>
  </w:style>
  <w:style w:type="paragraph" w:styleId="PlainText">
    <w:name w:val="Plain Text"/>
    <w:basedOn w:val="Normal"/>
    <w:link w:val="PlainTextChar"/>
    <w:rsid w:val="001E0965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1E0965"/>
    <w:rPr>
      <w:rFonts w:ascii="Courier New" w:hAnsi="Courier New" w:cs="Times New Roman"/>
      <w:sz w:val="20"/>
      <w:szCs w:val="20"/>
    </w:rPr>
  </w:style>
  <w:style w:type="paragraph" w:styleId="Quote">
    <w:name w:val="Quote"/>
    <w:basedOn w:val="Normal"/>
    <w:next w:val="BodyTextContinued"/>
    <w:link w:val="QuoteChar"/>
    <w:qFormat/>
    <w:rsid w:val="001E0965"/>
    <w:pPr>
      <w:spacing w:after="240"/>
      <w:ind w:left="1440" w:right="1440"/>
    </w:pPr>
  </w:style>
  <w:style w:type="character" w:customStyle="1" w:styleId="QuoteChar">
    <w:name w:val="Quote Char"/>
    <w:basedOn w:val="DefaultParagraphFont"/>
    <w:link w:val="Quote"/>
    <w:rsid w:val="001E0965"/>
    <w:rPr>
      <w:rFonts w:ascii="Times New Roman" w:hAnsi="Times New Roman" w:cs="Times New Roman"/>
      <w:sz w:val="24"/>
      <w:szCs w:val="20"/>
    </w:rPr>
  </w:style>
  <w:style w:type="paragraph" w:customStyle="1" w:styleId="SECFootnote">
    <w:name w:val="SEC Footnote"/>
    <w:basedOn w:val="Normal"/>
    <w:rsid w:val="001E0965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HeadingRow">
    <w:name w:val="SEC Heading Row"/>
    <w:basedOn w:val="Normal"/>
    <w:rsid w:val="001E0965"/>
    <w:pPr>
      <w:jc w:val="center"/>
    </w:pPr>
    <w:rPr>
      <w:b/>
      <w:sz w:val="18"/>
    </w:rPr>
  </w:style>
  <w:style w:type="paragraph" w:customStyle="1" w:styleId="SECIndex">
    <w:name w:val="SEC Index"/>
    <w:basedOn w:val="Normal"/>
    <w:next w:val="Normal"/>
    <w:rsid w:val="001E0965"/>
    <w:pPr>
      <w:tabs>
        <w:tab w:val="left" w:leader="dot" w:pos="9360"/>
      </w:tabs>
      <w:ind w:left="720" w:hanging="720"/>
    </w:pPr>
    <w:rPr>
      <w:sz w:val="22"/>
    </w:rPr>
  </w:style>
  <w:style w:type="paragraph" w:customStyle="1" w:styleId="SECItalicHeading">
    <w:name w:val="SEC Italic Heading"/>
    <w:basedOn w:val="Normal"/>
    <w:next w:val="Normal"/>
    <w:rsid w:val="001E0965"/>
    <w:pPr>
      <w:spacing w:after="120" w:line="200" w:lineRule="exact"/>
      <w:ind w:firstLine="360"/>
    </w:pPr>
    <w:rPr>
      <w:b/>
      <w:i/>
      <w:sz w:val="22"/>
    </w:rPr>
  </w:style>
  <w:style w:type="paragraph" w:customStyle="1" w:styleId="SECItalicText">
    <w:name w:val="SEC Italic Text"/>
    <w:basedOn w:val="Normal"/>
    <w:next w:val="Normal"/>
    <w:rsid w:val="001E0965"/>
    <w:rPr>
      <w:i/>
      <w:caps/>
      <w:sz w:val="20"/>
    </w:rPr>
  </w:style>
  <w:style w:type="paragraph" w:customStyle="1" w:styleId="SECLeftHeading">
    <w:name w:val="SEC Left Heading"/>
    <w:basedOn w:val="Normal"/>
    <w:next w:val="Normal"/>
    <w:rsid w:val="001E0965"/>
    <w:pPr>
      <w:spacing w:after="120"/>
    </w:pPr>
    <w:rPr>
      <w:b/>
      <w:sz w:val="20"/>
    </w:rPr>
  </w:style>
  <w:style w:type="paragraph" w:customStyle="1" w:styleId="SECManualFootnote">
    <w:name w:val="SEC Manual Footnote"/>
    <w:basedOn w:val="Normal"/>
    <w:rsid w:val="001E0965"/>
    <w:pPr>
      <w:tabs>
        <w:tab w:val="left" w:pos="360"/>
      </w:tabs>
      <w:spacing w:after="120"/>
      <w:ind w:left="360" w:hanging="360"/>
    </w:pPr>
    <w:rPr>
      <w:sz w:val="20"/>
    </w:rPr>
  </w:style>
  <w:style w:type="paragraph" w:customStyle="1" w:styleId="SECText">
    <w:name w:val="SEC Text"/>
    <w:basedOn w:val="Normal"/>
    <w:next w:val="Normal"/>
    <w:rsid w:val="001E0965"/>
    <w:pPr>
      <w:spacing w:after="240"/>
    </w:pPr>
    <w:rPr>
      <w:sz w:val="20"/>
    </w:rPr>
  </w:style>
  <w:style w:type="paragraph" w:customStyle="1" w:styleId="SECTitle">
    <w:name w:val="SEC Title"/>
    <w:basedOn w:val="Normal"/>
    <w:next w:val="Normal"/>
    <w:rsid w:val="001E0965"/>
    <w:pPr>
      <w:spacing w:after="120"/>
      <w:jc w:val="center"/>
    </w:pPr>
    <w:rPr>
      <w:b/>
      <w:caps/>
      <w:sz w:val="20"/>
    </w:rPr>
  </w:style>
  <w:style w:type="paragraph" w:styleId="Signature">
    <w:name w:val="Signature"/>
    <w:basedOn w:val="Normal"/>
    <w:link w:val="SignatureChar"/>
    <w:rsid w:val="001E0965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E0965"/>
    <w:rPr>
      <w:rFonts w:ascii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1E0965"/>
    <w:rPr>
      <w:b w:val="0"/>
    </w:rPr>
  </w:style>
  <w:style w:type="paragraph" w:styleId="Subtitle">
    <w:name w:val="Subtitle"/>
    <w:basedOn w:val="Normal"/>
    <w:link w:val="SubtitleChar"/>
    <w:qFormat/>
    <w:rsid w:val="001E0965"/>
    <w:pPr>
      <w:spacing w:after="240"/>
    </w:pPr>
    <w:rPr>
      <w:b/>
    </w:rPr>
  </w:style>
  <w:style w:type="character" w:customStyle="1" w:styleId="SubtitleChar">
    <w:name w:val="Subtitle Char"/>
    <w:link w:val="Subtitle"/>
    <w:rsid w:val="001E0965"/>
    <w:rPr>
      <w:rFonts w:ascii="Times New Roman" w:hAnsi="Times New Roman" w:cs="Times New Roman"/>
      <w:b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1E096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E0965"/>
    <w:pPr>
      <w:ind w:left="480" w:hanging="480"/>
    </w:pPr>
  </w:style>
  <w:style w:type="paragraph" w:customStyle="1" w:styleId="Text">
    <w:name w:val="Text"/>
    <w:basedOn w:val="Normal"/>
    <w:next w:val="Normal"/>
    <w:rsid w:val="001E0965"/>
    <w:pPr>
      <w:spacing w:after="240"/>
    </w:pPr>
  </w:style>
  <w:style w:type="paragraph" w:styleId="Title">
    <w:name w:val="Title"/>
    <w:basedOn w:val="Normal"/>
    <w:link w:val="TitleChar"/>
    <w:qFormat/>
    <w:rsid w:val="001E0965"/>
    <w:pPr>
      <w:spacing w:after="240"/>
      <w:jc w:val="center"/>
    </w:pPr>
    <w:rPr>
      <w:b/>
      <w:caps/>
      <w:kern w:val="28"/>
      <w:u w:val="single"/>
    </w:rPr>
  </w:style>
  <w:style w:type="character" w:customStyle="1" w:styleId="TitleChar">
    <w:name w:val="Title Char"/>
    <w:link w:val="Title"/>
    <w:rsid w:val="001E0965"/>
    <w:rPr>
      <w:rFonts w:ascii="Times New Roman" w:hAnsi="Times New Roman" w:cs="Times New Roman"/>
      <w:b/>
      <w:caps/>
      <w:kern w:val="28"/>
      <w:sz w:val="24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8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1E0965"/>
    <w:pPr>
      <w:spacing w:after="24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96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E0965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E0965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E09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E0965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E096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96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965"/>
    <w:rPr>
      <w:rFonts w:ascii="Times New Roman" w:hAnsi="Times New Roman" w:cs="Times New Roman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1E0965"/>
    <w:rPr>
      <w:b w:val="0"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0965"/>
    <w:pPr>
      <w:spacing w:after="200"/>
    </w:pPr>
    <w:rPr>
      <w:bCs/>
      <w:color w:val="4472C4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E096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table" w:customStyle="1" w:styleId="ColorfulGrid1">
    <w:name w:val="Colorful Grid1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96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965"/>
    <w:rPr>
      <w:rFonts w:ascii="Times New Roman" w:hAnsi="Times New Roman" w:cs="Times New Roman"/>
      <w:bCs/>
      <w:sz w:val="20"/>
      <w:szCs w:val="20"/>
    </w:rPr>
  </w:style>
  <w:style w:type="table" w:customStyle="1" w:styleId="DarkList1">
    <w:name w:val="Dark List1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E0965"/>
    <w:pPr>
      <w:spacing w:after="240" w:line="240" w:lineRule="auto"/>
    </w:pPr>
    <w:rPr>
      <w:rFonts w:ascii="Times New Roman" w:hAnsi="Times New Roman" w:cs="Times New Roman"/>
      <w:b/>
      <w:color w:val="FFFFFF" w:themeColor="background1"/>
      <w:sz w:val="24"/>
      <w:szCs w:val="24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E096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E0965"/>
  </w:style>
  <w:style w:type="paragraph" w:styleId="HTMLAddress">
    <w:name w:val="HTML Address"/>
    <w:basedOn w:val="Normal"/>
    <w:link w:val="HTMLAddressChar"/>
    <w:uiPriority w:val="99"/>
    <w:semiHidden/>
    <w:unhideWhenUsed/>
    <w:rsid w:val="001E096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0965"/>
    <w:rPr>
      <w:rFonts w:ascii="Times New Roman" w:hAnsi="Times New Roman" w:cs="Times New Roman"/>
      <w:i/>
      <w:iCs/>
      <w:sz w:val="2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1E09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E0965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E0965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E096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0965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0965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E0965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E0965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E0965"/>
    <w:rPr>
      <w:i/>
      <w:iCs/>
    </w:rPr>
  </w:style>
  <w:style w:type="character" w:styleId="IntenseEmphasis">
    <w:name w:val="Intense Emphasis"/>
    <w:basedOn w:val="DefaultParagraphFont"/>
    <w:uiPriority w:val="21"/>
    <w:unhideWhenUsed/>
    <w:qFormat/>
    <w:rsid w:val="001E0965"/>
    <w:rPr>
      <w:b w:val="0"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965"/>
    <w:pPr>
      <w:pBdr>
        <w:bottom w:val="single" w:sz="4" w:space="4" w:color="4472C4" w:themeColor="accent1"/>
      </w:pBdr>
      <w:spacing w:before="200" w:after="280"/>
      <w:ind w:left="936" w:right="936"/>
    </w:pPr>
    <w:rPr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965"/>
    <w:rPr>
      <w:rFonts w:ascii="Times New Roman" w:hAnsi="Times New Roman" w:cs="Times New Roman"/>
      <w:bCs/>
      <w:i/>
      <w:iCs/>
      <w:color w:val="4472C4" w:themeColor="accent1"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1E0965"/>
    <w:rPr>
      <w:b w:val="0"/>
      <w:bCs/>
      <w:smallCaps/>
      <w:color w:val="ED7D31" w:themeColor="accent2"/>
      <w:spacing w:val="5"/>
      <w:u w:val="single"/>
    </w:rPr>
  </w:style>
  <w:style w:type="table" w:customStyle="1" w:styleId="LightGrid1">
    <w:name w:val="Light Grid1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2F5496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7B7B7B" w:themeColor="accent3" w:themeShade="BF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BF8F00" w:themeColor="accent4" w:themeShade="BF"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2E74B5" w:themeColor="accent5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E0965"/>
    <w:pPr>
      <w:spacing w:after="240" w:line="240" w:lineRule="auto"/>
    </w:pPr>
    <w:rPr>
      <w:rFonts w:ascii="Times New Roman" w:hAnsi="Times New Roman" w:cs="Times New Roman"/>
      <w:b/>
      <w:color w:val="538135" w:themeColor="accent6" w:themeShade="BF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E096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E09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40" w:lineRule="auto"/>
    </w:pPr>
    <w:rPr>
      <w:rFonts w:ascii="Consolas" w:hAnsi="Consolas" w:cs="Consolas"/>
      <w:b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E0965"/>
    <w:rPr>
      <w:rFonts w:ascii="Consolas" w:hAnsi="Consolas" w:cs="Consolas"/>
      <w:b/>
      <w:sz w:val="24"/>
      <w:szCs w:val="24"/>
    </w:rPr>
  </w:style>
  <w:style w:type="table" w:customStyle="1" w:styleId="MediumGrid11">
    <w:name w:val="Medium Grid 11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E0965"/>
    <w:pPr>
      <w:spacing w:after="240" w:line="240" w:lineRule="auto"/>
    </w:pPr>
    <w:rPr>
      <w:rFonts w:ascii="Times New Roman" w:hAnsi="Times New Roman" w:cs="Times New Roman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E0965"/>
    <w:pPr>
      <w:spacing w:after="24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E0965"/>
  </w:style>
  <w:style w:type="paragraph" w:styleId="NormalIndent">
    <w:name w:val="Normal Indent"/>
    <w:basedOn w:val="Normal"/>
    <w:uiPriority w:val="99"/>
    <w:semiHidden/>
    <w:unhideWhenUsed/>
    <w:rsid w:val="001E096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E0965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E096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E0965"/>
    <w:rPr>
      <w:rFonts w:ascii="Times New Roman" w:hAnsi="Times New Roman" w:cs="Times New Roman"/>
      <w:sz w:val="24"/>
      <w:szCs w:val="20"/>
    </w:rPr>
  </w:style>
  <w:style w:type="character" w:styleId="SubtleEmphasis">
    <w:name w:val="Subtle Emphasis"/>
    <w:basedOn w:val="DefaultParagraphFont"/>
    <w:uiPriority w:val="19"/>
    <w:unhideWhenUsed/>
    <w:qFormat/>
    <w:rsid w:val="001E0965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1E0965"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color w:val="000080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color w:val="FFFFFF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Cs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Cs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Cs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Cs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E0965"/>
    <w:pPr>
      <w:spacing w:after="240" w:line="240" w:lineRule="auto"/>
    </w:pPr>
    <w:rPr>
      <w:rFonts w:ascii="Times New Roman" w:hAnsi="Times New Roman" w:cs="Times New Roman"/>
      <w:b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1E0965"/>
    <w:pPr>
      <w:spacing w:before="120"/>
    </w:pPr>
    <w:rPr>
      <w:rFonts w:asciiTheme="majorHAnsi" w:eastAsiaTheme="majorEastAsia" w:hAnsiTheme="majorHAnsi" w:cstheme="majorBidi"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E096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E096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E096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E096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E096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E096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E096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E096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E096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0965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customStyle="1" w:styleId="BodyTextEnglishUK">
    <w:name w:val="Body Text English UK"/>
    <w:basedOn w:val="Normal"/>
    <w:rsid w:val="001E0965"/>
    <w:pPr>
      <w:spacing w:after="240"/>
      <w:ind w:firstLine="1440"/>
    </w:pPr>
    <w:rPr>
      <w:lang w:val="en-GB"/>
    </w:rPr>
  </w:style>
  <w:style w:type="paragraph" w:customStyle="1" w:styleId="BodyTextEnglishUS">
    <w:name w:val="Body Text English US"/>
    <w:basedOn w:val="Normal"/>
    <w:rsid w:val="001E0965"/>
    <w:pPr>
      <w:spacing w:after="240"/>
      <w:ind w:firstLine="1440"/>
    </w:pPr>
  </w:style>
  <w:style w:type="paragraph" w:customStyle="1" w:styleId="BodyTextFrenchStd">
    <w:name w:val="Body Text French Std"/>
    <w:basedOn w:val="Normal"/>
    <w:rsid w:val="001E0965"/>
    <w:pPr>
      <w:spacing w:after="240"/>
      <w:ind w:firstLine="1440"/>
    </w:pPr>
    <w:rPr>
      <w:lang w:val="fr-FR"/>
    </w:rPr>
  </w:style>
  <w:style w:type="paragraph" w:customStyle="1" w:styleId="BodyTextGermanStd">
    <w:name w:val="Body Text German Std"/>
    <w:basedOn w:val="Normal"/>
    <w:rsid w:val="001E0965"/>
    <w:pPr>
      <w:spacing w:after="240"/>
      <w:ind w:firstLine="1440"/>
    </w:pPr>
    <w:rPr>
      <w:lang w:val="de-DE"/>
    </w:rPr>
  </w:style>
  <w:style w:type="paragraph" w:customStyle="1" w:styleId="ItalicText">
    <w:name w:val="Italic Text"/>
    <w:basedOn w:val="Normal"/>
    <w:next w:val="Normal"/>
    <w:rsid w:val="001E0965"/>
    <w:rPr>
      <w:i/>
      <w:caps/>
      <w:sz w:val="20"/>
    </w:rPr>
  </w:style>
  <w:style w:type="paragraph" w:styleId="ListBullet">
    <w:name w:val="List Bullet"/>
    <w:basedOn w:val="Normal"/>
    <w:rsid w:val="001E0965"/>
    <w:pPr>
      <w:numPr>
        <w:numId w:val="2"/>
      </w:numPr>
      <w:ind w:left="0" w:firstLine="0"/>
    </w:pPr>
  </w:style>
  <w:style w:type="paragraph" w:customStyle="1" w:styleId="xmsolistparagraph">
    <w:name w:val="x_msolistparagraph"/>
    <w:basedOn w:val="Normal"/>
    <w:rsid w:val="006F0A83"/>
    <w:pPr>
      <w:ind w:left="720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.gov/comments/s7-16-22/s71622-20136188-307163.pdf" TargetMode="External"/><Relationship Id="rId13" Type="http://schemas.openxmlformats.org/officeDocument/2006/relationships/hyperlink" Target="https://info.dechert.com/e/x02vpwvv73sh7q/6539dcc3-62e1-470e-a4ec-2fa66a9344a1" TargetMode="External"/><Relationship Id="rId18" Type="http://schemas.openxmlformats.org/officeDocument/2006/relationships/hyperlink" Target="https://www.dechert.com/knowledge/onpoint/2021/8/litigation-and-enforcement-risks-for-corporates-arising-from-enh.html" TargetMode="External"/><Relationship Id="rId26" Type="http://schemas.openxmlformats.org/officeDocument/2006/relationships/hyperlink" Target="https://info.dechert.com/email_handler.aspx?sid=blankform&amp;redirect=https%3a%2f%2finfo.dechert.com%2f11%2f16746%2fuploads%2fdechertonesgapracticalguideforassetmanagers.pdf&amp;checksum=364958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c.gov/litigation/admin/2022/ia-5959.pdf" TargetMode="External"/><Relationship Id="rId34" Type="http://schemas.openxmlformats.org/officeDocument/2006/relationships/hyperlink" Target="https://info.dechert.com/email_handler.aspx?sid=blankform&amp;redirect=https%3a%2f%2fwww.dechert.com%2fknowledge%2fonpoint%2f2020%2f11%2foverview-of-the-eu-shareholder-rights-directive-ii.html&amp;checksum=7417F008" TargetMode="External"/><Relationship Id="rId7" Type="http://schemas.openxmlformats.org/officeDocument/2006/relationships/hyperlink" Target="https://www.dechert.com/knowledge/onpoint/2022/7/sec-issues-proposed-rule-amendments-regarding-fund-naming-conven.html" TargetMode="External"/><Relationship Id="rId12" Type="http://schemas.openxmlformats.org/officeDocument/2006/relationships/hyperlink" Target="https://www.dechert.com/content/dam/dechert%20files/knowledge/News/2022/8/Dechert-LLP-Comment-Letter--ESG-Proposal-(File-No.-S7-17-22).pdf" TargetMode="External"/><Relationship Id="rId17" Type="http://schemas.openxmlformats.org/officeDocument/2006/relationships/hyperlink" Target="https://www.dechert.com/knowledge/onpoint/2022/1/esg-compliance-series--the-growing-importance-of-esg-related-sup.html" TargetMode="External"/><Relationship Id="rId25" Type="http://schemas.openxmlformats.org/officeDocument/2006/relationships/hyperlink" Target="https://info.dechert.com/email_handler.aspx?sid=blankform&amp;redirect=https%3a%2f%2finfo.dechert.com%2f11%2f16746%2fuploads%2fesg22-chapter4-dechert-llp-(1).pdf&amp;checksum=E362070C" TargetMode="External"/><Relationship Id="rId33" Type="http://schemas.openxmlformats.org/officeDocument/2006/relationships/hyperlink" Target="https://info.dechert.com/email_handler.aspx?sid=blankform&amp;redirect=https%3a%2f%2fwww.dechert.com%2fknowledge%2fonpoint%2f2020%2f4%2f-overview-of-the-eu-taxonomy-regulation.html&amp;checksum=A72095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dechert.com/10/16985/uploads/are-you-ready-for-esg-as-a-critical-business-imperative.10.11.2022.pdf" TargetMode="External"/><Relationship Id="rId20" Type="http://schemas.openxmlformats.org/officeDocument/2006/relationships/hyperlink" Target="https://www.sec.gov/litigation/admin/2022/ia-6032.pdf" TargetMode="External"/><Relationship Id="rId29" Type="http://schemas.openxmlformats.org/officeDocument/2006/relationships/hyperlink" Target="https://info.dechert.com/email_handler.aspx?sid=blankform&amp;redirect=https%3a%2f%2fwww.dechert.com%2fknowledge%2fonpoint%2f2022%2f4%2ffca-policy-statement-on-enhancing-climate-related-disclosures-by.html&amp;checksum=DE408FB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c.gov/comments/s7-17-22/s71722-20136187-307162.pdf" TargetMode="External"/><Relationship Id="rId24" Type="http://schemas.openxmlformats.org/officeDocument/2006/relationships/hyperlink" Target="https://www.sec.gov/news/press/2008/2008-157.htm" TargetMode="External"/><Relationship Id="rId32" Type="http://schemas.openxmlformats.org/officeDocument/2006/relationships/hyperlink" Target="https://info.dechert.com/email_handler.aspx?sid=blankform&amp;redirect=https%3a%2f%2fwww.dechert.com%2fknowledge%2fonpoint%2f2020%2f12%2fis-brexit-green--a-uk-roadmap-towards-mandatory-post-brexit-clim.html&amp;checksum=D2816F41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nfo.dechert.com/e/wku9q8hsog0ba/6539dcc3-62e1-470e-a4ec-2fa66a9344a1" TargetMode="External"/><Relationship Id="rId23" Type="http://schemas.openxmlformats.org/officeDocument/2006/relationships/hyperlink" Target="https://www.sec.gov/spotlight/enforcement-task-force-focused-climate-esg-issues" TargetMode="External"/><Relationship Id="rId28" Type="http://schemas.openxmlformats.org/officeDocument/2006/relationships/hyperlink" Target="https://info.dechert.com/email_handler.aspx?sid=blankform&amp;redirect=https%3a%2f%2fwww.dechert.com%2fknowledge%2fonpoint%2f2022%2f5%2fsfdr---april-may-2022-developments-.html&amp;checksum=656DAE1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dechert.com/knowledge/onpoint/2022/6/sec-issues-rule-proposal-related-to-certain-investment-advisers-.html" TargetMode="External"/><Relationship Id="rId19" Type="http://schemas.openxmlformats.org/officeDocument/2006/relationships/hyperlink" Target="https://info.dechert.com/e/ptumws7qfjsdbq/6539dcc3-62e1-470e-a4ec-2fa66a9344a1" TargetMode="External"/><Relationship Id="rId31" Type="http://schemas.openxmlformats.org/officeDocument/2006/relationships/hyperlink" Target="https://info.dechert.com/email_handler.aspx?sid=blankform&amp;redirect=https%3a%2f%2fwww.dechert.com%2fknowledge%2fonpoint%2f2021%2f6%2fthe-sfdr-jigsaw---putting-the-pieces-together.html&amp;checksum=1DE47AC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chert.com/content/dam/dechert%20files/knowledge/News/2022/8/Dechert-LLP-Comment-Letter-Investment-Company-Names-Proposal-(File-No.S7-16-22).pdf" TargetMode="External"/><Relationship Id="rId14" Type="http://schemas.openxmlformats.org/officeDocument/2006/relationships/hyperlink" Target="https://info.dechert.com/e/ptumws7qfjsdbq/6539dcc3-62e1-470e-a4ec-2fa66a9344a1" TargetMode="External"/><Relationship Id="rId22" Type="http://schemas.openxmlformats.org/officeDocument/2006/relationships/hyperlink" Target="https://www.sec.gov/files/2022-exam-priorities.pdf" TargetMode="External"/><Relationship Id="rId27" Type="http://schemas.openxmlformats.org/officeDocument/2006/relationships/hyperlink" Target="https://info.dechert.com/email_handler.aspx?sid=blankform&amp;redirect=https%3a%2f%2fwww.dechert.com%2fknowledge%2fonpoint%2f2022%2f7%2frts-under-the-sfdr-published-in-the-official-journal.html&amp;checksum=16BEFB68" TargetMode="External"/><Relationship Id="rId30" Type="http://schemas.openxmlformats.org/officeDocument/2006/relationships/hyperlink" Target="https://info.dechert.com/email_handler.aspx?sid=blankform&amp;redirect=https%3a%2f%2fwww.dechert.com%2fknowledge%2fonpoint%2f2021%2f8%2ffca-consultation-on-enhancing-climate-related-disclosures-by-uk-.html&amp;checksum=5224E905" TargetMode="External"/><Relationship Id="rId35" Type="http://schemas.openxmlformats.org/officeDocument/2006/relationships/hyperlink" Target="https://info.dechert.com/email_handler.aspx?sid=blankform&amp;redirect=https%3a%2f%2fwww.dechert.com%2fknowledge%2fonpoint%2f2020%2f9%2foverview-of-the-esg-driven-amendment-to-aifmd-and-the-ucits-dire.html&amp;checksum=98C17E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Goulston, Beth</dc:creator>
  <cp:keywords/>
  <dc:description/>
  <cp:lastModifiedBy>Goulston, Beth</cp:lastModifiedBy>
  <cp:revision>6</cp:revision>
  <dcterms:created xsi:type="dcterms:W3CDTF">2022-10-12T16:22:00Z</dcterms:created>
  <dcterms:modified xsi:type="dcterms:W3CDTF">2022-10-25T00:59:00Z</dcterms:modified>
</cp:coreProperties>
</file>